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17D6C" w:rsidRDefault="00C17D6C" w:rsidP="00C17D6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ind w:right="-1"/>
        <w:jc w:val="center"/>
        <w:outlineLvl w:val="0"/>
        <w:rPr>
          <w:rFonts w:ascii="Arial Narrow" w:hAnsi="Arial Narrow" w:cs="Arial"/>
          <w:b/>
          <w:bCs/>
          <w:color w:val="000000"/>
          <w:sz w:val="24"/>
          <w:szCs w:val="24"/>
        </w:rPr>
      </w:pPr>
      <w:r>
        <w:rPr>
          <w:rFonts w:ascii="Arial Narrow" w:hAnsi="Arial Narrow" w:cs="Arial"/>
          <w:b/>
          <w:bCs/>
          <w:color w:val="000000"/>
          <w:sz w:val="24"/>
          <w:szCs w:val="24"/>
        </w:rPr>
        <w:t xml:space="preserve">BAŞVURUYA İLİŞKİN AÇIKLAMALAR </w:t>
      </w:r>
    </w:p>
    <w:p w:rsidR="00C17D6C" w:rsidRDefault="00C17D6C" w:rsidP="00C17D6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ind w:right="-1"/>
        <w:jc w:val="center"/>
        <w:rPr>
          <w:rFonts w:ascii="Arial Narrow" w:hAnsi="Arial Narrow" w:cs="Arial"/>
          <w:b/>
          <w:bCs/>
          <w:color w:val="000000"/>
          <w:sz w:val="24"/>
          <w:szCs w:val="24"/>
        </w:rPr>
      </w:pPr>
    </w:p>
    <w:p w:rsidR="00C17D6C" w:rsidRDefault="00C17D6C" w:rsidP="00C17D6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ind w:right="-1" w:firstLine="567"/>
        <w:rPr>
          <w:rFonts w:ascii="Arial Narrow" w:hAnsi="Arial Narrow" w:cs="Arial"/>
          <w:b/>
          <w:bCs/>
          <w:color w:val="000000"/>
          <w:sz w:val="24"/>
          <w:szCs w:val="24"/>
        </w:rPr>
      </w:pPr>
      <w:r>
        <w:rPr>
          <w:rFonts w:ascii="Arial Narrow" w:hAnsi="Arial Narrow" w:cs="Arial"/>
          <w:b/>
          <w:bCs/>
          <w:color w:val="000000"/>
          <w:sz w:val="24"/>
          <w:szCs w:val="24"/>
        </w:rPr>
        <w:t>(Başvurucu:</w:t>
      </w:r>
      <w:r>
        <w:rPr>
          <w:rFonts w:ascii="Arial Narrow" w:hAnsi="Arial Narrow" w:cs="Arial"/>
          <w:b/>
          <w:bCs/>
          <w:color w:val="000000"/>
          <w:sz w:val="24"/>
          <w:szCs w:val="24"/>
          <w:highlight w:val="yellow"/>
        </w:rPr>
        <w:t xml:space="preserve"> ………)</w:t>
      </w:r>
    </w:p>
    <w:p w:rsidR="00C17D6C" w:rsidRDefault="00C17D6C" w:rsidP="00C17D6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ind w:right="-1" w:firstLine="567"/>
        <w:rPr>
          <w:rFonts w:ascii="Arial Narrow" w:hAnsi="Arial Narrow" w:cs="Arial"/>
          <w:b/>
          <w:bCs/>
          <w:color w:val="000000"/>
          <w:sz w:val="24"/>
          <w:szCs w:val="24"/>
        </w:rPr>
      </w:pPr>
    </w:p>
    <w:p w:rsidR="00C17D6C" w:rsidRDefault="00C17D6C" w:rsidP="00C17D6C">
      <w:pPr>
        <w:pStyle w:val="ListeParagraf"/>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before="120" w:beforeAutospacing="0" w:after="0" w:afterAutospacing="0"/>
        <w:ind w:left="924" w:right="-1"/>
        <w:jc w:val="both"/>
        <w:outlineLvl w:val="0"/>
        <w:rPr>
          <w:rFonts w:ascii="Arial Narrow" w:hAnsi="Arial Narrow" w:cs="Arial"/>
          <w:b/>
          <w:bCs/>
          <w:u w:val="single"/>
          <w:lang w:val="tr-TR" w:eastAsia="tr-TR"/>
        </w:rPr>
      </w:pPr>
      <w:r>
        <w:rPr>
          <w:rFonts w:ascii="Arial Narrow" w:hAnsi="Arial Narrow" w:cs="Arial"/>
          <w:b/>
          <w:bCs/>
          <w:u w:val="single"/>
          <w:lang w:val="tr-TR" w:eastAsia="tr-TR"/>
        </w:rPr>
        <w:t>Anayasa’nın 36 ve AİHS'in 6. Maddesi Kapsamındaki Şikâyetlere İlişkin Ek Açıklamalar</w:t>
      </w:r>
    </w:p>
    <w:p w:rsidR="00C17D6C" w:rsidRDefault="00C17D6C" w:rsidP="00C17D6C">
      <w:pPr>
        <w:pStyle w:val="ListeParagraf"/>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before="120" w:beforeAutospacing="0" w:after="0" w:afterAutospacing="0"/>
        <w:ind w:left="924" w:right="-1"/>
        <w:jc w:val="both"/>
        <w:outlineLvl w:val="0"/>
        <w:rPr>
          <w:rFonts w:ascii="Arial Narrow" w:hAnsi="Arial Narrow" w:cs="Arial"/>
          <w:lang w:val="tr-TR" w:eastAsia="tr-TR"/>
        </w:rPr>
      </w:pPr>
    </w:p>
    <w:p w:rsidR="00C17D6C" w:rsidRDefault="00C17D6C" w:rsidP="00C17D6C">
      <w:pPr>
        <w:pStyle w:val="ListeParagraf"/>
        <w:numPr>
          <w:ilvl w:val="0"/>
          <w:numId w:val="1"/>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before="0" w:beforeAutospacing="0" w:after="0" w:afterAutospacing="0"/>
        <w:ind w:right="-1"/>
        <w:contextualSpacing/>
        <w:jc w:val="both"/>
        <w:rPr>
          <w:rFonts w:ascii="Arial Narrow" w:hAnsi="Arial Narrow" w:cs="Arial"/>
          <w:lang w:val="tr-TR" w:eastAsia="tr-TR"/>
        </w:rPr>
      </w:pPr>
      <w:r>
        <w:rPr>
          <w:rFonts w:ascii="Arial Narrow" w:hAnsi="Arial Narrow" w:cs="Arial"/>
          <w:color w:val="000000"/>
          <w:lang w:val="tr-TR"/>
        </w:rPr>
        <w:t xml:space="preserve">Başvurucu, </w:t>
      </w:r>
      <w:r>
        <w:rPr>
          <w:rFonts w:ascii="Arial Narrow" w:hAnsi="Arial Narrow" w:cs="Arial"/>
          <w:color w:val="000000"/>
          <w:highlight w:val="yellow"/>
          <w:lang w:val="tr-TR"/>
        </w:rPr>
        <w:t>… sayılı OHAL KHK’sı</w:t>
      </w:r>
      <w:r>
        <w:rPr>
          <w:rFonts w:ascii="Arial Narrow" w:hAnsi="Arial Narrow" w:cs="Arial"/>
          <w:color w:val="000000"/>
          <w:lang w:val="tr-TR"/>
        </w:rPr>
        <w:t xml:space="preserve"> kapsamında; “Terör örgütlerine veya Milli Güvenlik Kurulunca Devletin milli güvenliğine karşı faaliyette bulunduğuna karar verilen yapı, oluşum veya gruplara üyeliği, mensubiyeti veya iltisakı yahut bunlarla irtibatı” ibaresini içeren hükümle; suç ve cezanın kanuniliği, masumiyet karinesi, yargılamasız ceza olmaz ilkelerine aykırı şekilde yargısal nitelikte bir kararla ihraç edilmiştir. Zira başvurucunun gerçekten bir örgütle herhangi bir ilişkisi bulunduğu kabul edilse dahi, başvurucunun öncelikle hukuk devletinin gereklerine uygun şekilde yargılanması ve başvurucuya adil yargılanma hakkının tüm unsurlarının tanınması gerekirdi.</w:t>
      </w:r>
      <w:r>
        <w:rPr>
          <w:rStyle w:val="DipnotBavurusu"/>
          <w:rFonts w:ascii="Arial Narrow" w:hAnsi="Arial Narrow" w:cs="Arial"/>
          <w:color w:val="000000"/>
          <w:lang w:val="tr-TR"/>
        </w:rPr>
        <w:footnoteReference w:id="2"/>
      </w:r>
    </w:p>
    <w:p w:rsidR="00C17D6C" w:rsidRDefault="00C17D6C" w:rsidP="00C17D6C">
      <w:pPr>
        <w:pStyle w:val="ListeParagraf"/>
        <w:numPr>
          <w:ilvl w:val="0"/>
          <w:numId w:val="1"/>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before="0" w:beforeAutospacing="0" w:after="0" w:afterAutospacing="0"/>
        <w:ind w:right="-1"/>
        <w:contextualSpacing/>
        <w:jc w:val="both"/>
        <w:rPr>
          <w:rFonts w:ascii="Arial Narrow" w:hAnsi="Arial Narrow" w:cs="Arial"/>
          <w:lang w:val="tr-TR" w:eastAsia="tr-TR"/>
        </w:rPr>
      </w:pPr>
      <w:r>
        <w:rPr>
          <w:rFonts w:ascii="Arial Narrow" w:hAnsi="Arial Narrow" w:cs="Arial"/>
          <w:lang w:val="tr-TR" w:eastAsia="tr-TR"/>
        </w:rPr>
        <w:t>Başvurucu, söz konusu hükümle bir daha kamu görevinde çalışamayacak şekilde görevinden çıkarılmış ve adeta “sivil ölüme” terk edilmiştir. Zira söz konusu KHK ile görevden çıkarılan kişilerin “mahkûmiyet kararı aranmaksızın, rütbe ve/veya memuriyetlerinin alınacağı, görev yaptıkları teşkilata yeniden kabul edilmeyecekleri; bir daha kamu hizmetinde istihdam edilemeyecekleri, doğrudan veya dolaylı olarak görevlendirilemeyecekleri” açıkça düzenlenmiştir. Böylece, başvurucunun kamu hizmetine ilişkin alanlarda çalışması yasaklanmış ve SGK kaydı nedeniyle özel sektörde iş bulması neredeyse imkânsız hale gelmiştir.</w:t>
      </w:r>
    </w:p>
    <w:p w:rsidR="00C17D6C" w:rsidRDefault="00C17D6C" w:rsidP="00C17D6C">
      <w:pPr>
        <w:pStyle w:val="ListeParagraf"/>
        <w:numPr>
          <w:ilvl w:val="0"/>
          <w:numId w:val="1"/>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before="0" w:beforeAutospacing="0" w:after="0" w:afterAutospacing="0"/>
        <w:ind w:right="-1"/>
        <w:contextualSpacing/>
        <w:jc w:val="both"/>
        <w:rPr>
          <w:rFonts w:ascii="Arial Narrow" w:hAnsi="Arial Narrow" w:cs="Arial"/>
          <w:lang w:val="tr-TR" w:eastAsia="tr-TR"/>
        </w:rPr>
      </w:pPr>
      <w:r>
        <w:rPr>
          <w:rFonts w:ascii="Arial Narrow" w:hAnsi="Arial Narrow" w:cs="Arial"/>
          <w:lang w:val="tr-TR" w:eastAsia="tr-TR"/>
        </w:rPr>
        <w:t>Başvurucunun meslekten çıkarılmasına ilişkin yargılamaya adil yargılanma hakkının “medeni” yönünün uygulanacağı konusunda bir tereddüt yoktur. Bununla birlikte, meslekten çıkarma kararı aynı zamanda bir cezalandırma niteliği taşıdığından; adil yargılanma hakkının” cezai” yönüne ilişkin güvencelerin de sağlanması gerekmektedir.</w:t>
      </w:r>
    </w:p>
    <w:p w:rsidR="00C17D6C" w:rsidRDefault="00C17D6C" w:rsidP="00C17D6C">
      <w:pPr>
        <w:pStyle w:val="ListeParagraf"/>
        <w:numPr>
          <w:ilvl w:val="0"/>
          <w:numId w:val="1"/>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before="0" w:beforeAutospacing="0" w:after="0" w:afterAutospacing="0"/>
        <w:ind w:right="-1"/>
        <w:contextualSpacing/>
        <w:jc w:val="both"/>
        <w:rPr>
          <w:rFonts w:ascii="Arial Narrow" w:hAnsi="Arial Narrow" w:cs="Arial"/>
          <w:lang w:val="tr-TR" w:eastAsia="tr-TR"/>
        </w:rPr>
      </w:pPr>
      <w:r>
        <w:rPr>
          <w:rFonts w:ascii="Arial Narrow" w:hAnsi="Arial Narrow" w:cs="Arial"/>
          <w:lang w:val="tr-TR" w:eastAsia="tr-TR"/>
        </w:rPr>
        <w:t xml:space="preserve">Öncelikle başvuranın meslekten çıkarılmasına gerekçe yapılan “üyelik” kavramı ceza hukukunun kapsamına girmekte ve TCK’nın 314/2. maddesindeki suçu oluşturmaktadır. Başvurucu açısından “üyelik, irtibat, iltisak” ölçütlerinden hangisinin gerçekleştiği açıklanmadığından, her hâlükârda örgüt üyesi olarak da nitelendirildiği sonucu çıkmaktadır. </w:t>
      </w:r>
    </w:p>
    <w:p w:rsidR="00C17D6C" w:rsidRDefault="00C17D6C" w:rsidP="00C17D6C">
      <w:pPr>
        <w:pStyle w:val="ListeParagraf"/>
        <w:numPr>
          <w:ilvl w:val="0"/>
          <w:numId w:val="1"/>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before="0" w:beforeAutospacing="0" w:after="0" w:afterAutospacing="0"/>
        <w:ind w:right="-1"/>
        <w:contextualSpacing/>
        <w:jc w:val="both"/>
        <w:rPr>
          <w:rFonts w:ascii="Arial Narrow" w:hAnsi="Arial Narrow" w:cs="Arial"/>
          <w:lang w:val="tr-TR" w:eastAsia="tr-TR"/>
        </w:rPr>
      </w:pPr>
      <w:r>
        <w:rPr>
          <w:rFonts w:ascii="Arial Narrow" w:hAnsi="Arial Narrow" w:cs="Arial"/>
          <w:lang w:val="tr-TR" w:eastAsia="tr-TR"/>
        </w:rPr>
        <w:t>İkinci olarak, görevden çıkarmalar 15 Temmuz sonrasında ceza soruşturma ve kovuşturmalarının ilk aşaması veya bir parçası olarak işlev görmüştür. Hakkında açığa alma ya da meslekten çıkarma tedbiri uygulanan kişiler arasında ceza soruşturmasına tabi tutulmayan bir kişi neredeyse yoktur. Bu husustaki bilgiler, Adalet Bakanlığından ve ilgili bakanlıklardan sorulabilir. Başvurucu da önce açığa alınmış/meslekten çıkarılmış, ardında da ceza soruşturmasıyla karşılaşmıştır.</w:t>
      </w:r>
    </w:p>
    <w:p w:rsidR="00C17D6C" w:rsidRDefault="00C17D6C" w:rsidP="00C17D6C">
      <w:pPr>
        <w:pStyle w:val="ListeParagraf"/>
        <w:numPr>
          <w:ilvl w:val="0"/>
          <w:numId w:val="1"/>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before="0" w:beforeAutospacing="0" w:after="0" w:afterAutospacing="0"/>
        <w:ind w:right="-1"/>
        <w:contextualSpacing/>
        <w:jc w:val="both"/>
        <w:rPr>
          <w:rFonts w:ascii="Arial Narrow" w:hAnsi="Arial Narrow" w:cs="Arial"/>
          <w:lang w:val="tr-TR" w:eastAsia="tr-TR"/>
        </w:rPr>
      </w:pPr>
      <w:r>
        <w:rPr>
          <w:rFonts w:ascii="Arial Narrow" w:hAnsi="Arial Narrow" w:cs="Arial"/>
          <w:lang w:val="tr-TR" w:eastAsia="tr-TR"/>
        </w:rPr>
        <w:t>Yine, uygulanan yaptırımın ağırlığı (sivil ölüm oluşturur şekilde, ölünceye kadar kamu görevinde çalışma yasağı ve özel sektörde de iş bulmanın fiilen engellenmesi) ve yaygınlığı (yaklaşık 140 bin kişi) dikkate alındığında, somut olayda ceza hukuku anlamında bir “suçlama ve ceza” bulunduğu kabul edilmelidir. Dolayısıyla, AİHS’in 6. maddesinin ceza yönüyle sağlanan tüm güvenceler (AİHS m. 6/1, 2 ve 3) somut olaya uygulanmalıdır. Zira Avrupa İnsan Hakları Mahkemesi (AİHM) içtihatları dikkate alındığında, bir daha dönmemek ve başka bir kamu hizmetinde bulunmamak üzere verilen bu denli yaygın bir meslekten çıkarma yaptırımı, ceza hukuku anlamında bir ceza olup (Matyjek/Polonya (k.k.), No. </w:t>
      </w:r>
      <w:hyperlink r:id="rId7" w:anchor="{%22appno%22:[%2238184/03%22]}" w:tgtFrame="_blank" w:history="1">
        <w:r>
          <w:rPr>
            <w:rStyle w:val="Kpr"/>
            <w:rFonts w:ascii="Arial Narrow" w:hAnsi="Arial Narrow" w:cs="Arial"/>
            <w:lang w:val="tr-TR" w:eastAsia="tr-TR"/>
          </w:rPr>
          <w:t>38184/03</w:t>
        </w:r>
      </w:hyperlink>
      <w:r>
        <w:rPr>
          <w:rFonts w:ascii="Arial Narrow" w:hAnsi="Arial Narrow" w:cs="Arial"/>
          <w:lang w:val="tr-TR" w:eastAsia="tr-TR"/>
        </w:rPr>
        <w:t>, 30/5/2006, §§ 54-57), ceza yargılamasındaki tüm güvencelere uygun bir yargılama sonucunda uygulanmalıdır.</w:t>
      </w:r>
    </w:p>
    <w:p w:rsidR="00C17D6C" w:rsidRDefault="00C17D6C" w:rsidP="00C17D6C">
      <w:pPr>
        <w:pStyle w:val="ListeParagraf"/>
        <w:numPr>
          <w:ilvl w:val="0"/>
          <w:numId w:val="1"/>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before="0" w:beforeAutospacing="0" w:after="0" w:afterAutospacing="0"/>
        <w:ind w:right="-1"/>
        <w:contextualSpacing/>
        <w:jc w:val="both"/>
        <w:rPr>
          <w:rFonts w:ascii="Arial Narrow" w:hAnsi="Arial Narrow" w:cs="Arial"/>
          <w:lang w:val="tr-TR" w:eastAsia="tr-TR"/>
        </w:rPr>
      </w:pPr>
      <w:r>
        <w:rPr>
          <w:rFonts w:ascii="Arial Narrow" w:hAnsi="Arial Narrow" w:cs="Arial"/>
          <w:lang w:val="tr-TR" w:eastAsia="tr-TR"/>
        </w:rPr>
        <w:t>Meslekten çıkarma kararında, başvurucuya özel hiçbir iddiaya ve gerekçeye yer verilmemiştir. Başka bir ifadeyle, kararda bireysel olarak başvurucuya atfedilen hiçbir olay, olgu ya da eylem bulunmamaktadır. Kamu görevinden çıkarılma nedenleri KHK’da belirtilmediği gibi başvurucuya herhangi bir gerekçe de tebliğ edilmemiştir. Bakanlar Kurulu tarafından verilen meslekten çıkarma kararında, başvurucunun meslekten çıkarılmasına ve örgüt ile irtibatlı/iltisaklı olduğuna dair tek bir somut delil ortaya konulmamıştır. O tarih itibariyle, başvurucunun meslekten çıkarılmasını gerektirecek kesinleşmiş mahkeme kararı bir yana, bir disiplin cezası dahi bulunmamaktadır.</w:t>
      </w:r>
    </w:p>
    <w:p w:rsidR="00C17D6C" w:rsidRDefault="00C17D6C" w:rsidP="00C17D6C">
      <w:pPr>
        <w:pStyle w:val="ListeParagraf"/>
        <w:numPr>
          <w:ilvl w:val="0"/>
          <w:numId w:val="1"/>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before="0" w:beforeAutospacing="0" w:after="0" w:afterAutospacing="0"/>
        <w:ind w:right="-1"/>
        <w:contextualSpacing/>
        <w:jc w:val="both"/>
        <w:rPr>
          <w:rFonts w:ascii="Arial Narrow" w:hAnsi="Arial Narrow" w:cs="Arial"/>
          <w:color w:val="000000"/>
          <w:sz w:val="23"/>
          <w:szCs w:val="23"/>
          <w:lang w:val="tr-TR"/>
        </w:rPr>
      </w:pPr>
      <w:r>
        <w:rPr>
          <w:rFonts w:ascii="Arial Narrow" w:hAnsi="Arial Narrow" w:cs="Arial"/>
          <w:color w:val="000000"/>
          <w:sz w:val="23"/>
          <w:szCs w:val="23"/>
          <w:lang w:val="tr-TR"/>
        </w:rPr>
        <w:lastRenderedPageBreak/>
        <w:t>Başvurucunun da aralarında bulunduğu on binlerce kişinin kamu görevinden ihracı, OHAL KHK’larının şablon hükmüne, sicil numaraları, unvanları, isimleri ve görev yerleri şeklindeki kişisel verilerin yer aldığı listelerin eklenmesiyle gerçekleşmiştir. Böylece ortaya çıkan ağır hukuk ihlalleri, iki ayrı işlemin birbirine eklemlenmesinin sonucudur. Bu işlemlerden biri, OHAL KHK’larının genel, soyut, objektif, kişilik dışı nitelik taşıyan kural-işlem şeklindeki düzenlemeleridir. Diğeri ise on binlerce kişinin kişisel verilerini içeren ekli listelerdir. Bu listeler, içerdikleri her kişi açısından bireysel idari işlem mahiyetindedir. Bireysel idari işlemin bu yöntemle gerçekleşmesi dahi tek başına bir hukuka aykırılık sorunu yaratmaktadır. Zira bireysel bir idari işlemin, ilgilinin durumuna ilişkin yeterli ayrıntıyı içermesi gerekir. Bu, kısaca “her durumun</w:t>
      </w:r>
      <w:r>
        <w:rPr>
          <w:rFonts w:ascii="Arial Narrow" w:hAnsi="Arial" w:cs="Arial"/>
          <w:color w:val="000000"/>
          <w:sz w:val="23"/>
          <w:szCs w:val="23"/>
          <w:lang w:val="tr-TR"/>
        </w:rPr>
        <w:t> </w:t>
      </w:r>
      <w:r>
        <w:rPr>
          <w:rFonts w:ascii="Arial Narrow" w:hAnsi="Arial Narrow" w:cs="Arial"/>
          <w:color w:val="000000"/>
          <w:sz w:val="23"/>
          <w:szCs w:val="23"/>
          <w:lang w:val="tr-TR"/>
        </w:rPr>
        <w:t>özel olarak incelenmesi ilkesi” olarak tanımlanmaktadır.</w:t>
      </w:r>
      <w:r>
        <w:rPr>
          <w:rStyle w:val="DipnotBavurusu"/>
          <w:rFonts w:ascii="Arial Narrow" w:hAnsi="Arial Narrow" w:cs="Arial"/>
          <w:color w:val="000000"/>
          <w:sz w:val="23"/>
          <w:szCs w:val="23"/>
          <w:lang w:val="tr-TR"/>
        </w:rPr>
        <w:footnoteReference w:id="3"/>
      </w:r>
    </w:p>
    <w:p w:rsidR="00C17D6C" w:rsidRDefault="00C17D6C" w:rsidP="00C17D6C">
      <w:pPr>
        <w:pStyle w:val="ListeParagraf"/>
        <w:numPr>
          <w:ilvl w:val="0"/>
          <w:numId w:val="1"/>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before="0" w:beforeAutospacing="0" w:after="0" w:afterAutospacing="0"/>
        <w:ind w:right="-1"/>
        <w:contextualSpacing/>
        <w:jc w:val="both"/>
        <w:rPr>
          <w:rFonts w:ascii="Arial Narrow" w:hAnsi="Arial Narrow" w:cs="Arial"/>
          <w:sz w:val="23"/>
          <w:szCs w:val="23"/>
          <w:lang w:val="tr-TR" w:eastAsia="tr-TR"/>
        </w:rPr>
      </w:pPr>
      <w:r>
        <w:rPr>
          <w:rFonts w:ascii="Arial Narrow" w:hAnsi="Arial Narrow" w:cs="Arial"/>
          <w:color w:val="000000"/>
          <w:sz w:val="23"/>
          <w:szCs w:val="23"/>
          <w:lang w:val="tr-TR"/>
        </w:rPr>
        <w:t>Nitekim Venedik Komisyonu’nun Olağanüstü Hal Kanun Hükmünde Kararnamelerine İlişkin Görüşler başlıklı raporuna</w:t>
      </w:r>
      <w:r>
        <w:rPr>
          <w:rStyle w:val="DipnotBavurusu"/>
          <w:rFonts w:ascii="Arial Narrow" w:hAnsi="Arial Narrow" w:cs="Arial"/>
          <w:sz w:val="23"/>
          <w:szCs w:val="23"/>
          <w:lang w:val="tr-TR"/>
        </w:rPr>
        <w:footnoteReference w:id="4"/>
      </w:r>
      <w:r>
        <w:rPr>
          <w:rFonts w:ascii="Arial Narrow" w:hAnsi="Arial Narrow" w:cs="Arial"/>
          <w:color w:val="000000"/>
          <w:sz w:val="23"/>
          <w:szCs w:val="23"/>
          <w:lang w:val="tr-TR"/>
        </w:rPr>
        <w:t xml:space="preserve"> göre; OHAL KHK’leri, delillendirmeye ilişkin herhangi bir standart ortaya koymamakta ve nihai değerlendirmenin gerekçeli ve kanıta dayalı olması gerektiği koşulunu da karşılamamaktadır. Nihayet, her bir ihraç işleminin bireyselleşmiş bir gerekçeye dayanmaması, idarenin takdir yetkisini kötüye kullanabileceği anlamına gelmektedir ki, bunun hukuk devletiyle bağdaşması mümkün değildir. Kamu görevlilerinin ihracına yol açan karar süreci, ihraçların bireyselleşmiş bir muhakeme sürecinden yoksunluğuyla sakatlanmıştır. Bu durum, söz konusu kararların anlamlı bir yargısal denetime tabi kılınmalarını imkânsızlaştırmaktadır.</w:t>
      </w:r>
    </w:p>
    <w:p w:rsidR="00C17D6C" w:rsidRDefault="00C17D6C" w:rsidP="00C17D6C">
      <w:pPr>
        <w:pStyle w:val="ListeParagraf"/>
        <w:numPr>
          <w:ilvl w:val="0"/>
          <w:numId w:val="1"/>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before="0" w:beforeAutospacing="0" w:after="0" w:afterAutospacing="0"/>
        <w:ind w:right="-1"/>
        <w:contextualSpacing/>
        <w:jc w:val="both"/>
        <w:rPr>
          <w:rFonts w:ascii="Arial Narrow" w:hAnsi="Arial Narrow" w:cs="Arial"/>
          <w:sz w:val="23"/>
          <w:szCs w:val="23"/>
          <w:lang w:val="tr-TR" w:eastAsia="tr-TR"/>
        </w:rPr>
      </w:pPr>
      <w:r>
        <w:rPr>
          <w:rFonts w:ascii="Arial Narrow" w:hAnsi="Arial Narrow" w:cs="Arial"/>
          <w:sz w:val="23"/>
          <w:szCs w:val="23"/>
          <w:lang w:val="tr-TR" w:eastAsia="tr-TR"/>
        </w:rPr>
        <w:t>Sonuç olarak başvurucu, hiçbir bilgi ve belge bulunmaksızın, keyfi bir şekilde meslekten çıkarılmıştır. Diğer taraftan, meslekten çıkarılma kararı sonrasından elde edilen bilgi ve belgeler de, başvurucunun silahlı terör örgütü üyesi ya da örgütle irtibatlı ve iltisaklı olduğunu kanıtlamaya elverişli değildir.</w:t>
      </w:r>
    </w:p>
    <w:p w:rsidR="00C17D6C" w:rsidRDefault="00C17D6C" w:rsidP="00C17D6C">
      <w:pPr>
        <w:pStyle w:val="ListeParagraf"/>
        <w:numPr>
          <w:ilvl w:val="0"/>
          <w:numId w:val="1"/>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before="0" w:beforeAutospacing="0" w:after="0" w:afterAutospacing="0"/>
        <w:ind w:right="-1"/>
        <w:contextualSpacing/>
        <w:jc w:val="both"/>
        <w:rPr>
          <w:rFonts w:ascii="Arial Narrow" w:hAnsi="Arial Narrow" w:cs="Arial"/>
          <w:sz w:val="23"/>
          <w:szCs w:val="23"/>
          <w:lang w:val="tr-TR" w:eastAsia="tr-TR"/>
        </w:rPr>
      </w:pPr>
      <w:r>
        <w:rPr>
          <w:rFonts w:ascii="Arial Narrow" w:hAnsi="Arial Narrow" w:cs="Arial"/>
          <w:sz w:val="23"/>
          <w:szCs w:val="23"/>
          <w:lang w:val="tr-TR" w:eastAsia="tr-TR"/>
        </w:rPr>
        <w:t>Kamu görevinden çıkarılmadan önce başvurucuya savunma hakkı tanınmamıştır. Benzer şekilde OHAL Komisyonu, başvurucunun yazılı ya da sözlü savunmasını almaksızın, 7075 sayılı Kanun’un 9. maddesi kapsamında incelemesini dosya üzerinden yapmıştır. Zaten, söz konusu komisyonun çalışmasına ilişkin Tebliğin 14. maddesinde de; “sözlü ifade verme ve tanık dinletme taleplerinin dikkate alınmayacağı” açıkça belirtilmiştir. Dolayısıyla, başvurucu gerek meslekten çıkarılma ve gerekse de OHAL Komisyonuna yaptığı başvurunun incelenmesi aşamasında hiçbir şekilde savunma hakkını kullanamamıştır.</w:t>
      </w:r>
    </w:p>
    <w:p w:rsidR="00C17D6C" w:rsidRDefault="00C17D6C" w:rsidP="00C17D6C">
      <w:pPr>
        <w:pStyle w:val="ListeParagraf"/>
        <w:numPr>
          <w:ilvl w:val="0"/>
          <w:numId w:val="1"/>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before="0" w:beforeAutospacing="0" w:after="0" w:afterAutospacing="0"/>
        <w:ind w:right="-1"/>
        <w:contextualSpacing/>
        <w:jc w:val="both"/>
        <w:rPr>
          <w:rFonts w:ascii="Arial Narrow" w:hAnsi="Arial Narrow" w:cs="Arial"/>
          <w:color w:val="000000"/>
          <w:sz w:val="23"/>
          <w:szCs w:val="23"/>
          <w:lang w:val="tr-TR"/>
        </w:rPr>
      </w:pPr>
      <w:r>
        <w:rPr>
          <w:rFonts w:ascii="Arial Narrow" w:hAnsi="Arial Narrow" w:cs="Arial"/>
          <w:color w:val="000000"/>
          <w:sz w:val="23"/>
          <w:szCs w:val="23"/>
          <w:lang w:val="tr-TR"/>
        </w:rPr>
        <w:t>Anayasanın 129. maddesinin ikinci fıkrasında; “</w:t>
      </w:r>
      <w:r>
        <w:rPr>
          <w:rFonts w:ascii="Arial Narrow" w:hAnsi="Arial Narrow" w:cs="Arial"/>
          <w:i/>
          <w:iCs/>
          <w:color w:val="000000"/>
          <w:sz w:val="23"/>
          <w:szCs w:val="23"/>
          <w:lang w:val="tr-TR"/>
        </w:rPr>
        <w:t>memurlar ve diğer kamu görevlileri ile kamu görevi niteliğindeki meslek kuruluşları mensuplarına savunma hakkı tanınmadıkça disiplin cezası verilemez</w:t>
      </w:r>
      <w:r>
        <w:rPr>
          <w:rFonts w:ascii="Arial Narrow" w:hAnsi="Arial Narrow" w:cs="Arial"/>
          <w:color w:val="000000"/>
          <w:sz w:val="23"/>
          <w:szCs w:val="23"/>
          <w:lang w:val="tr-TR"/>
        </w:rPr>
        <w:t>”, 657 sayılı Devlet Memurları Kanunu’nun (DMK) 130. maddesinde de; “</w:t>
      </w:r>
      <w:r>
        <w:rPr>
          <w:rFonts w:ascii="Arial Narrow" w:hAnsi="Arial Narrow" w:cs="Arial"/>
          <w:i/>
          <w:iCs/>
          <w:color w:val="000000"/>
          <w:sz w:val="23"/>
          <w:szCs w:val="23"/>
          <w:lang w:val="tr-TR"/>
        </w:rPr>
        <w:t>Devlet memuru hakkında savunması alınmadan disiplin cezası verilemez</w:t>
      </w:r>
      <w:r>
        <w:rPr>
          <w:rFonts w:ascii="Arial Narrow" w:hAnsi="Arial Narrow" w:cs="Arial"/>
          <w:color w:val="000000"/>
          <w:sz w:val="23"/>
          <w:szCs w:val="23"/>
          <w:lang w:val="tr-TR"/>
        </w:rPr>
        <w:t>” denilmiştir. Görüldüğü gibi Anayasa ve DMK, savunma hakkı olmaksızın disiplin cezasının verilmesini yasaklamıştır. Buna karşın, OHAL KHK’sı ile başvurucuya savunma hakkı tanınmaksızın, bir daha kamu görevinde yer alamayacak şekilde ihraç gibi disiplin cezasının çok ötesinde ağır bir yaptırım uygulanmıştır.</w:t>
      </w:r>
      <w:r>
        <w:rPr>
          <w:rFonts w:ascii="Arial Narrow" w:hAnsi="Arial Narrow" w:cs="Arial"/>
          <w:sz w:val="23"/>
          <w:szCs w:val="23"/>
          <w:lang w:val="tr-TR" w:eastAsia="tr-TR"/>
        </w:rPr>
        <w:t xml:space="preserve"> Bu durum, AİHS’nin 6. maddesinin yanı sıra, devlet memuru hakkında savunması alınmadan disiplin cezası verilemeyeceğine ilişkin Anayasa’nın 129/2 ve 657 sayılı DMK’nın 130. maddesine açıkça aykırılık oluşturmaktadır.</w:t>
      </w:r>
    </w:p>
    <w:p w:rsidR="00C17D6C" w:rsidRDefault="00C17D6C" w:rsidP="00C17D6C">
      <w:pPr>
        <w:pStyle w:val="ListeParagraf"/>
        <w:numPr>
          <w:ilvl w:val="0"/>
          <w:numId w:val="1"/>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before="0" w:beforeAutospacing="0" w:after="0" w:afterAutospacing="0"/>
        <w:ind w:right="-1"/>
        <w:contextualSpacing/>
        <w:jc w:val="both"/>
        <w:rPr>
          <w:rFonts w:ascii="Arial Narrow" w:hAnsi="Arial Narrow" w:cs="Arial"/>
          <w:sz w:val="23"/>
          <w:szCs w:val="23"/>
          <w:lang w:val="tr-TR" w:eastAsia="tr-TR"/>
        </w:rPr>
      </w:pPr>
      <w:r>
        <w:rPr>
          <w:rFonts w:ascii="Arial Narrow" w:hAnsi="Arial Narrow" w:cs="Arial"/>
          <w:sz w:val="23"/>
          <w:szCs w:val="23"/>
          <w:lang w:val="tr-TR" w:eastAsia="tr-TR"/>
        </w:rPr>
        <w:t xml:space="preserve">Ayrıca, meslekten çıkarma kararına dayanak teşkil eden hiçbir bilgi ya da belge başvurucuya verilmemiştir. Dolayısıyla başvurucu, savunma hakkı başta olmak üzere hiçbir usulü güvenceye riayet edilmeksizin meslekten çıkarılmıştır. Başvurucunun bu şekilde kamu görevinden çıkarılması, OHAL’e neden olan durumun gerektirdiği türden bir tedbir olmaması nedeniyle ölçülülük ilkesine uygun değildir. </w:t>
      </w:r>
    </w:p>
    <w:p w:rsidR="00C17D6C" w:rsidRDefault="00C17D6C" w:rsidP="00C17D6C">
      <w:pPr>
        <w:pStyle w:val="ListeParagraf"/>
        <w:numPr>
          <w:ilvl w:val="0"/>
          <w:numId w:val="1"/>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before="0" w:beforeAutospacing="0" w:after="0" w:afterAutospacing="0"/>
        <w:ind w:right="-1"/>
        <w:contextualSpacing/>
        <w:jc w:val="both"/>
        <w:rPr>
          <w:rFonts w:ascii="Arial Narrow" w:hAnsi="Arial Narrow" w:cs="Arial"/>
          <w:sz w:val="23"/>
          <w:szCs w:val="23"/>
          <w:lang w:val="tr-TR" w:eastAsia="tr-TR"/>
        </w:rPr>
      </w:pPr>
      <w:r>
        <w:rPr>
          <w:rFonts w:ascii="Arial Narrow" w:hAnsi="Arial Narrow" w:cs="Arial"/>
          <w:sz w:val="23"/>
          <w:szCs w:val="23"/>
          <w:lang w:val="tr-TR" w:eastAsia="tr-TR"/>
        </w:rPr>
        <w:t>Özetle; başvurucu, AİHM içtihatlarına aykırı şekilde, hiçbir usulü güvenceye riayet etmeksizin, örneğin aleyhe olan bilgi ve belgelere erişim imkânı sağlanmaksızın, sözlü ya da yazılı savunma dahi alınmadan meslekten çıkarılmıştır. OHAL Komisyonu tarafından da bu işleme karşı yapılan başvuru aynı şekilde reddedilmiştir. Sonrasında başvurulan idari yargı yolundan da olumlu sonuç alınamamıştır.</w:t>
      </w:r>
    </w:p>
    <w:p w:rsidR="00C17D6C" w:rsidRDefault="00C17D6C" w:rsidP="00C17D6C">
      <w:pPr>
        <w:pStyle w:val="ListeParagraf"/>
        <w:numPr>
          <w:ilvl w:val="0"/>
          <w:numId w:val="1"/>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before="0" w:beforeAutospacing="0" w:after="0" w:afterAutospacing="0"/>
        <w:ind w:right="-1"/>
        <w:contextualSpacing/>
        <w:jc w:val="both"/>
        <w:rPr>
          <w:rFonts w:ascii="Arial Narrow" w:hAnsi="Arial Narrow" w:cs="Arial"/>
          <w:sz w:val="23"/>
          <w:szCs w:val="23"/>
          <w:highlight w:val="yellow"/>
          <w:lang w:val="tr-TR" w:eastAsia="tr-TR"/>
        </w:rPr>
      </w:pPr>
      <w:r>
        <w:rPr>
          <w:rFonts w:ascii="Arial Narrow" w:hAnsi="Arial Narrow" w:cs="Arial"/>
          <w:sz w:val="23"/>
          <w:szCs w:val="23"/>
          <w:highlight w:val="yellow"/>
          <w:lang w:val="tr-TR" w:eastAsia="tr-TR"/>
        </w:rPr>
        <w:t>Başvurucu, herkesin uygulama marketlerinden ve APK sitelerinden ücretsiz olarak indirebildiği sıradan bir mesajlaşma uygulaması olan Bylock’u kullanıldığı gerekçesiyle meslekten çıkarılmıştır. Başvurucunun Bylock mesajlaşma uygulamasını kullanmış olduğu ve bu nedenle terör örgütüne “</w:t>
      </w:r>
      <w:r>
        <w:rPr>
          <w:rFonts w:ascii="Arial Narrow" w:hAnsi="Arial Narrow" w:cs="Arial"/>
          <w:color w:val="000000"/>
          <w:sz w:val="23"/>
          <w:szCs w:val="23"/>
          <w:highlight w:val="yellow"/>
          <w:lang w:val="tr-TR"/>
        </w:rPr>
        <w:t>mensubiyeti veya iltisakı yahut irtibatı olduğu”</w:t>
      </w:r>
      <w:r>
        <w:rPr>
          <w:rFonts w:ascii="Arial Narrow" w:hAnsi="Arial Narrow" w:cs="Arial"/>
          <w:sz w:val="23"/>
          <w:szCs w:val="23"/>
          <w:highlight w:val="yellow"/>
          <w:lang w:val="tr-TR" w:eastAsia="tr-TR"/>
        </w:rPr>
        <w:t xml:space="preserve"> yönündeki kabulün hukuken geçerli hiçbir temeli bulunmamaktadır. Söz konusu tespit, illiyet bağını ortaya koyan herhangi bir delile dayanmamaktadır.</w:t>
      </w:r>
    </w:p>
    <w:p w:rsidR="00C17D6C" w:rsidRDefault="00C17D6C" w:rsidP="00C17D6C">
      <w:pPr>
        <w:pStyle w:val="ListeParagraf"/>
        <w:numPr>
          <w:ilvl w:val="0"/>
          <w:numId w:val="1"/>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before="0" w:beforeAutospacing="0" w:after="0" w:afterAutospacing="0"/>
        <w:ind w:right="-1"/>
        <w:contextualSpacing/>
        <w:jc w:val="both"/>
        <w:rPr>
          <w:rFonts w:ascii="Arial Narrow" w:hAnsi="Arial Narrow" w:cs="Arial"/>
          <w:sz w:val="23"/>
          <w:szCs w:val="23"/>
          <w:highlight w:val="yellow"/>
          <w:lang w:val="tr-TR" w:eastAsia="tr-TR"/>
        </w:rPr>
      </w:pPr>
      <w:r>
        <w:rPr>
          <w:rFonts w:ascii="Arial Narrow" w:hAnsi="Arial Narrow" w:cs="Arial"/>
          <w:sz w:val="23"/>
          <w:szCs w:val="23"/>
          <w:highlight w:val="yellow"/>
          <w:lang w:val="tr-TR" w:eastAsia="tr-TR"/>
        </w:rPr>
        <w:t xml:space="preserve">Ulusal makamlar; delillerin toplanmasını, incelenmesini ve kullanımını düzenleyen iç hukuktaki yasal hükümlere aykırı davranmıştır. Bylock verileri, Millî İstihbarat Teşkilâtı (MİT) tarafından gerekli hâkim kararı olmaksızın, hukuka aykırı şekilde ele geçirilmiştir. Bylock sunucusunun bulunduğu Litvanya devleti ile </w:t>
      </w:r>
      <w:r>
        <w:rPr>
          <w:rFonts w:ascii="Arial Narrow" w:hAnsi="Arial Narrow" w:cs="Arial"/>
          <w:sz w:val="23"/>
          <w:szCs w:val="23"/>
          <w:highlight w:val="yellow"/>
          <w:lang w:val="tr-TR" w:eastAsia="tr-TR"/>
        </w:rPr>
        <w:lastRenderedPageBreak/>
        <w:t>uluslararası adli istinabe yoluna gidilmemiştir. Aynı şekilde, hem Bylock, hem de ankesör soruşturmaları kapsamında GSM şirketleri tarafından mevzuatta öngörülen azami süreden daha fazla süreyle saklanan internet trafik bilgileri ve HTS kayıtları, BTK tarafından adli makamlara gönderilmiştir. Kaldı ki, bu verilerin BTK tarafından depolanmasının, işlenip süzülerek adli makamlarla paylaşılmasının kanuni bir dayanağı da bulunmamaktadır. Zira söz konusu verilerin, CMK’nın 135. maddesi kapsamında değerlendirilmesi mümkün değildir. Dolayısıyla, başvurucunun Bylock kullanımı/ankesörle aranmasına ilişkin deliller yasal şekilde elde edilmemiştir</w:t>
      </w:r>
      <w:r>
        <w:rPr>
          <w:rFonts w:ascii="Arial Narrow" w:hAnsi="Arial Narrow" w:cs="Arial"/>
          <w:color w:val="FF0000"/>
          <w:sz w:val="23"/>
          <w:szCs w:val="23"/>
          <w:highlight w:val="yellow"/>
          <w:lang w:val="tr-TR" w:eastAsia="tr-TR"/>
        </w:rPr>
        <w:t xml:space="preserve">. </w:t>
      </w:r>
    </w:p>
    <w:p w:rsidR="00C17D6C" w:rsidRDefault="00C17D6C" w:rsidP="00C17D6C">
      <w:pPr>
        <w:pStyle w:val="ListeParagraf"/>
        <w:numPr>
          <w:ilvl w:val="0"/>
          <w:numId w:val="1"/>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before="0" w:beforeAutospacing="0" w:after="0" w:afterAutospacing="0"/>
        <w:ind w:right="-1"/>
        <w:contextualSpacing/>
        <w:jc w:val="both"/>
        <w:rPr>
          <w:rFonts w:ascii="Arial Narrow" w:hAnsi="Arial Narrow" w:cs="Arial"/>
          <w:sz w:val="23"/>
          <w:szCs w:val="23"/>
          <w:highlight w:val="yellow"/>
          <w:lang w:val="tr-TR" w:eastAsia="tr-TR"/>
        </w:rPr>
      </w:pPr>
      <w:r>
        <w:rPr>
          <w:rFonts w:ascii="Arial Narrow" w:hAnsi="Arial Narrow" w:cs="Arial"/>
          <w:sz w:val="23"/>
          <w:szCs w:val="23"/>
          <w:highlight w:val="yellow"/>
          <w:lang w:val="tr-TR" w:eastAsia="tr-TR"/>
        </w:rPr>
        <w:t xml:space="preserve">Başvurucunun, meslekten çıkarılmasına dayanak teşkil eden hiçbir bilgi ya da belge başvurucuya tebliğ edilmemiştir. Örneğin Bylock verilerinin bir örneği başvurucuya verilmemiştir. Benzer şekilde, ulusal mahkemelere sunulan dijital deliller ve görüşler hakkında bilgi sahibi olma ve yorumda bulunma, lehindeki ve aleyhindeki maddi delilleri inceleme ve aleyhinde kullanılan dijital delillerin orijinalliğine ve güvenilirliğine karşı çıkma ve bunların kullanımına itiraz etme hususunda gerçek ve etkili bir fırsat tanınmamıştır. Dolayısıyla, silahların eşitliği ve çelişmeli yargılama ilkelerine aykırı davranılmak suretiyle, başvurucu dezavantajlı bir duruma düşürülmüştür. </w:t>
      </w:r>
    </w:p>
    <w:p w:rsidR="00C17D6C" w:rsidRDefault="00C17D6C" w:rsidP="00C17D6C">
      <w:pPr>
        <w:pStyle w:val="ListeParagraf"/>
        <w:numPr>
          <w:ilvl w:val="0"/>
          <w:numId w:val="1"/>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before="0" w:beforeAutospacing="0" w:after="0" w:afterAutospacing="0"/>
        <w:ind w:right="-1"/>
        <w:contextualSpacing/>
        <w:jc w:val="both"/>
        <w:rPr>
          <w:rFonts w:ascii="Arial Narrow" w:hAnsi="Arial Narrow" w:cs="Arial"/>
          <w:sz w:val="23"/>
          <w:szCs w:val="23"/>
          <w:highlight w:val="yellow"/>
          <w:lang w:val="tr-TR" w:eastAsia="tr-TR"/>
        </w:rPr>
      </w:pPr>
      <w:r>
        <w:rPr>
          <w:rFonts w:ascii="Arial Narrow" w:hAnsi="Arial Narrow" w:cs="Arial"/>
          <w:sz w:val="23"/>
          <w:szCs w:val="23"/>
          <w:highlight w:val="yellow"/>
          <w:lang w:val="tr-TR" w:eastAsia="tr-TR"/>
        </w:rPr>
        <w:t>Bylock kullanımına delil olarak kabul edilen dijital veriler güvenilir değildir. Başvurunun söz konusu uygulamayı kullandığı teknik olarak ispatlanmamıştır. Bylock verilerinin bütünlüğü ve orijinalliği soruşturma makamlarına sunulmadan önceki dönemde korunmamıştır. Bylock kullanıcılarının tespiti için kim tarafından, nasıl bir çalışma yapıldığı belirsizdir. Adli makamlar, MİT tarafından ele geçirilen ve emniyet birimleri tarafından kendilerine sunulan dijital delillerin bütünlüğünü, doğruluğunu ve tutarlılığını yeterince incelememişlerdir. “Morbeyin” olayında 11 binden fazla kişinin hatalı olarak tespit edildiği ortaya çıkmasına rağmen, bu verilerin güvenilirliğine yönelik başvurucunun iddia ve taleplerine yanıt verilmemiştir. Verilerin ham hali üzerinde bağımsız ve uzman bilirkişilere teknik inceleme yaptırılmamıştır.</w:t>
      </w:r>
    </w:p>
    <w:p w:rsidR="00C17D6C" w:rsidRDefault="00C17D6C" w:rsidP="00C17D6C">
      <w:pPr>
        <w:pStyle w:val="ListeParagraf"/>
        <w:numPr>
          <w:ilvl w:val="0"/>
          <w:numId w:val="1"/>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before="0" w:beforeAutospacing="0" w:after="0" w:afterAutospacing="0"/>
        <w:ind w:right="-1"/>
        <w:contextualSpacing/>
        <w:jc w:val="both"/>
        <w:rPr>
          <w:rFonts w:ascii="Arial Narrow" w:hAnsi="Arial Narrow" w:cs="Arial"/>
          <w:sz w:val="23"/>
          <w:szCs w:val="23"/>
          <w:highlight w:val="yellow"/>
          <w:lang w:val="tr-TR" w:eastAsia="tr-TR"/>
        </w:rPr>
      </w:pPr>
      <w:r>
        <w:rPr>
          <w:rFonts w:ascii="Arial Narrow" w:hAnsi="Arial Narrow" w:cs="Arial"/>
          <w:sz w:val="23"/>
          <w:szCs w:val="23"/>
          <w:highlight w:val="yellow"/>
          <w:lang w:val="tr-TR" w:eastAsia="tr-TR"/>
        </w:rPr>
        <w:t xml:space="preserve">Ceza yargılaması sırasında dinlenilen itirafçı/tanıklar, suç şüphesi ve baskı altında, tutuksuz yargılanmak ve daha az ceza alabilmek için başvurucu aleyhine beyanlarda bulunmuşlardır. Başvurucu ile arasında husumet ya da menfaat çatışması bulunabilecek bu kişilerin beyanlarına itibar edilmesi mümkün değildir. Buna rağmen meslekten çıkarma kararına karşı itirazlar hakkındaki ret kararlarına dayanak olarak kullanılmıştır. Diğer taraftan, söz konusu beyanların lehe kısımları göz ardı edilerek yalnızca aleyhe olan kısımlarına yer verilmesi nedeniyle, başvurucu adil yargılanma hakkından mahrum bırakılmıştır. </w:t>
      </w:r>
    </w:p>
    <w:p w:rsidR="00C17D6C" w:rsidRDefault="00C17D6C" w:rsidP="00C17D6C">
      <w:pPr>
        <w:pStyle w:val="ListeParagraf"/>
        <w:numPr>
          <w:ilvl w:val="0"/>
          <w:numId w:val="1"/>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before="0" w:beforeAutospacing="0" w:after="0" w:afterAutospacing="0"/>
        <w:ind w:right="-1"/>
        <w:contextualSpacing/>
        <w:jc w:val="both"/>
        <w:rPr>
          <w:rFonts w:ascii="Arial Narrow" w:hAnsi="Arial Narrow" w:cs="Arial"/>
          <w:sz w:val="23"/>
          <w:szCs w:val="23"/>
          <w:lang w:val="tr-TR" w:eastAsia="tr-TR"/>
        </w:rPr>
      </w:pPr>
      <w:r>
        <w:rPr>
          <w:rFonts w:ascii="Arial Narrow" w:hAnsi="Arial Narrow" w:cs="Arial"/>
          <w:sz w:val="23"/>
          <w:szCs w:val="23"/>
          <w:lang w:val="tr-TR" w:eastAsia="tr-TR"/>
        </w:rPr>
        <w:t>İdare Mahkemesi, Bölge İdare Mahkemesi ve Danıştay kararlarında yeterli gerekçeye yer vermemişlerdir. Başvurucu tarafından dile getirilen temel ve makul iddiaları yanıtlamamışlardır. Örneğin idare mahkemesi, başvurucunun dava argümanlarına gerekçeli kararda yeterince yer vermemiştir. Söz konusu argümanlar kararda tartışılmamış, neden reddedildikleri konusunda değerlendirme yapılmamıştır. Somut iddia ve taleplere, kararda hiçbir cevap verilmemiştir. Bu nedenlerle, başvurucunun gerekçeli karar hakkı ihlal edilmiştir.</w:t>
      </w:r>
    </w:p>
    <w:p w:rsidR="00C17D6C" w:rsidRDefault="00C17D6C" w:rsidP="00C17D6C">
      <w:pPr>
        <w:pStyle w:val="ListeParagraf"/>
        <w:numPr>
          <w:ilvl w:val="0"/>
          <w:numId w:val="1"/>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8222"/>
        </w:tabs>
        <w:autoSpaceDE w:val="0"/>
        <w:autoSpaceDN w:val="0"/>
        <w:adjustRightInd w:val="0"/>
        <w:spacing w:before="0" w:beforeAutospacing="0" w:after="0" w:afterAutospacing="0"/>
        <w:ind w:right="-1"/>
        <w:contextualSpacing/>
        <w:jc w:val="both"/>
        <w:rPr>
          <w:rFonts w:ascii="Arial Narrow" w:hAnsi="Arial Narrow" w:cs="Arial"/>
          <w:sz w:val="23"/>
          <w:szCs w:val="23"/>
          <w:lang w:val="tr-TR" w:eastAsia="tr-TR"/>
        </w:rPr>
      </w:pPr>
      <w:r>
        <w:rPr>
          <w:rFonts w:ascii="Arial Narrow" w:hAnsi="Arial Narrow" w:cs="Arial"/>
          <w:sz w:val="23"/>
          <w:szCs w:val="23"/>
          <w:lang w:val="tr-TR" w:eastAsia="tr-TR"/>
        </w:rPr>
        <w:t xml:space="preserve">İhraç kararında, hiçbir somut olgu ve/veya olaya dayanılmaksızın ve bireyselleştirme yapılmaksızın, </w:t>
      </w:r>
      <w:r>
        <w:rPr>
          <w:rFonts w:ascii="Arial Narrow" w:hAnsi="Arial Narrow" w:cs="Arial"/>
          <w:color w:val="000000"/>
          <w:sz w:val="23"/>
          <w:szCs w:val="23"/>
          <w:lang w:val="tr-TR"/>
        </w:rPr>
        <w:t>“Terör örgütlerine veya Milli Güvenlik Kurulunca Devletin milli güvenliğine karşı faaliyette bulunduğuna karar verilen yapı, oluşum veya gruplara üyeliği, mensubiyeti veya iltisakı yahut bunlarla irtibatı olduğu” kabul edilerek,</w:t>
      </w:r>
      <w:r>
        <w:rPr>
          <w:rFonts w:ascii="Arial Narrow" w:hAnsi="Arial Narrow" w:cs="Arial"/>
          <w:sz w:val="23"/>
          <w:szCs w:val="23"/>
          <w:lang w:val="tr-TR" w:eastAsia="tr-TR"/>
        </w:rPr>
        <w:t xml:space="preserve"> başvurucunun da aralarında bulunduğu ekli listede adı geçenler hakkında suçlayıcı ifadelere yer verilmiştir. </w:t>
      </w:r>
      <w:r>
        <w:rPr>
          <w:rFonts w:ascii="Arial Narrow" w:hAnsi="Arial Narrow" w:cs="Arial"/>
          <w:sz w:val="23"/>
          <w:szCs w:val="23"/>
          <w:highlight w:val="yellow"/>
          <w:lang w:val="tr-TR" w:eastAsia="tr-TR"/>
        </w:rPr>
        <w:t>Ayrıca, meslekten çıkarma kararına karşı yürütülen idari yargı sürecinde, tamamıyla başvurucu hakkındaki kesinleşmemiş ceza dosyasına, özellikle de iddianamede yer verilen delillere, daha doğrusu iddialara dayanılmıştır.</w:t>
      </w:r>
      <w:r>
        <w:rPr>
          <w:rFonts w:ascii="Arial Narrow" w:hAnsi="Arial Narrow" w:cs="Arial"/>
          <w:sz w:val="23"/>
          <w:szCs w:val="23"/>
          <w:highlight w:val="yellow"/>
          <w:lang w:val="tr-TR"/>
        </w:rPr>
        <w:t xml:space="preserve"> Ancak, idari yargılama neticesinde elde edilen bilgiler ve </w:t>
      </w:r>
      <w:r>
        <w:rPr>
          <w:rFonts w:ascii="Arial Narrow" w:hAnsi="Arial Narrow" w:cs="Arial"/>
          <w:sz w:val="23"/>
          <w:szCs w:val="23"/>
          <w:highlight w:val="yellow"/>
          <w:lang w:val="tr-TR" w:eastAsia="tr-TR"/>
        </w:rPr>
        <w:t>karar tarihinde hangi delile göre başvurucunun meslekten çıkarıldığının sorgulanması</w:t>
      </w:r>
      <w:r>
        <w:rPr>
          <w:rFonts w:ascii="Arial Narrow" w:hAnsi="Arial Narrow" w:cs="Arial"/>
          <w:sz w:val="23"/>
          <w:szCs w:val="23"/>
          <w:highlight w:val="yellow"/>
          <w:lang w:val="tr-TR"/>
        </w:rPr>
        <w:t xml:space="preserve"> yerine, idare mahkemesince henüz kesinleşmemiş ağır ceza mahkemesi kararındaki bazı hususlara atfen ve bu karardaki bilgilerden hareketle başvurucunun terör örgütü üyesi ya da bir terör örgütüyle irtibatlı ve iltisaklı olduğuna ilişkin ifadelere yer verilmesi masumiyet karinesine aykırıdır (</w:t>
      </w:r>
      <w:r>
        <w:rPr>
          <w:rFonts w:ascii="Arial Narrow" w:hAnsi="Arial Narrow" w:cs="Arial"/>
          <w:color w:val="000000" w:themeColor="text1"/>
          <w:sz w:val="23"/>
          <w:szCs w:val="23"/>
          <w:highlight w:val="yellow"/>
          <w:lang w:val="tr-TR"/>
        </w:rPr>
        <w:t xml:space="preserve">Urat/Türkiye, No: 53561/09 ve 13952/11, 27/11/2018, </w:t>
      </w:r>
      <w:r>
        <w:rPr>
          <w:rFonts w:ascii="Arial Narrow" w:hAnsi="Arial Narrow" w:cs="Arial"/>
          <w:sz w:val="23"/>
          <w:szCs w:val="23"/>
          <w:highlight w:val="yellow"/>
          <w:lang w:val="tr-TR" w:eastAsia="tr-TR"/>
        </w:rPr>
        <w:t xml:space="preserve">§ </w:t>
      </w:r>
      <w:r>
        <w:rPr>
          <w:rFonts w:ascii="Arial Narrow" w:hAnsi="Arial Narrow" w:cs="Arial"/>
          <w:color w:val="000000" w:themeColor="text1"/>
          <w:sz w:val="23"/>
          <w:szCs w:val="23"/>
          <w:highlight w:val="yellow"/>
          <w:lang w:val="tr-TR"/>
        </w:rPr>
        <w:t xml:space="preserve">58 Çelik (Bozkurt)/Türkiye, No: 34388/05, 12/7/2011. </w:t>
      </w:r>
      <w:r>
        <w:rPr>
          <w:rFonts w:ascii="Arial Narrow" w:hAnsi="Arial Narrow" w:cs="Arial"/>
          <w:sz w:val="23"/>
          <w:szCs w:val="23"/>
          <w:highlight w:val="yellow"/>
          <w:lang w:val="tr-TR" w:eastAsia="tr-TR"/>
        </w:rPr>
        <w:t>§</w:t>
      </w:r>
      <w:r>
        <w:rPr>
          <w:rFonts w:ascii="Arial Narrow" w:hAnsi="Arial Narrow" w:cs="Arial"/>
          <w:color w:val="000000" w:themeColor="text1"/>
          <w:sz w:val="23"/>
          <w:szCs w:val="23"/>
          <w:highlight w:val="yellow"/>
          <w:lang w:val="tr-TR"/>
        </w:rPr>
        <w:t xml:space="preserve"> 34-37).</w:t>
      </w:r>
      <w:r>
        <w:rPr>
          <w:rFonts w:ascii="Arial Narrow" w:hAnsi="Arial Narrow" w:cs="Arial"/>
          <w:color w:val="000000" w:themeColor="text1"/>
          <w:sz w:val="23"/>
          <w:szCs w:val="23"/>
          <w:lang w:val="tr-TR"/>
        </w:rPr>
        <w:t xml:space="preserve"> </w:t>
      </w:r>
      <w:r>
        <w:rPr>
          <w:rFonts w:ascii="Arial Narrow" w:hAnsi="Arial Narrow" w:cs="Arial"/>
          <w:sz w:val="23"/>
          <w:szCs w:val="23"/>
          <w:lang w:val="tr-TR" w:eastAsia="tr-TR"/>
        </w:rPr>
        <w:t>Yine, başvurucunun isminin yer aldığı listeler internet üzerinden yayımlanmış ve medyada geniş şekilde yer almıştır. Bu nedenlerle, başvurucunun masum sayılma hakkı açıkça ihlal edilmiştir.</w:t>
      </w:r>
    </w:p>
    <w:p w:rsidR="00C17D6C" w:rsidRDefault="00C17D6C" w:rsidP="00C17D6C">
      <w:pPr>
        <w:pStyle w:val="ListeParagraf"/>
        <w:keepNex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before="120" w:beforeAutospacing="0" w:after="0" w:afterAutospacing="0"/>
        <w:ind w:left="924" w:right="-1"/>
        <w:jc w:val="both"/>
        <w:outlineLvl w:val="0"/>
        <w:rPr>
          <w:rFonts w:ascii="Arial Narrow" w:hAnsi="Arial Narrow" w:cs="Arial"/>
          <w:b/>
          <w:bCs/>
          <w:sz w:val="23"/>
          <w:szCs w:val="23"/>
          <w:u w:val="single"/>
          <w:lang w:val="tr-TR" w:eastAsia="tr-TR"/>
        </w:rPr>
      </w:pPr>
      <w:r>
        <w:rPr>
          <w:rFonts w:ascii="Arial Narrow" w:hAnsi="Arial Narrow" w:cs="Arial"/>
          <w:b/>
          <w:bCs/>
          <w:sz w:val="23"/>
          <w:szCs w:val="23"/>
          <w:u w:val="single"/>
          <w:lang w:val="tr-TR" w:eastAsia="tr-TR"/>
        </w:rPr>
        <w:t>Anayasa’nın 38 ve AİHS'in 7. Maddesi Kapsamındaki Şikâyetlere İlişkin Ek Açıklamalar</w:t>
      </w:r>
    </w:p>
    <w:p w:rsidR="00C17D6C" w:rsidRDefault="00C17D6C" w:rsidP="00C17D6C">
      <w:pPr>
        <w:pStyle w:val="ListeParagraf"/>
        <w:keepNex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before="120" w:beforeAutospacing="0" w:after="0" w:afterAutospacing="0"/>
        <w:ind w:left="924" w:right="-1"/>
        <w:jc w:val="both"/>
        <w:outlineLvl w:val="0"/>
        <w:rPr>
          <w:rFonts w:ascii="Arial Narrow" w:hAnsi="Arial Narrow" w:cs="Arial"/>
          <w:b/>
          <w:bCs/>
          <w:sz w:val="23"/>
          <w:szCs w:val="23"/>
          <w:lang w:val="tr-TR"/>
        </w:rPr>
      </w:pPr>
    </w:p>
    <w:p w:rsidR="00C17D6C" w:rsidRDefault="00C17D6C" w:rsidP="00C17D6C">
      <w:pPr>
        <w:pStyle w:val="ListeParagraf"/>
        <w:numPr>
          <w:ilvl w:val="0"/>
          <w:numId w:val="1"/>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before="0" w:beforeAutospacing="0" w:after="0" w:afterAutospacing="0"/>
        <w:ind w:right="-1"/>
        <w:contextualSpacing/>
        <w:jc w:val="both"/>
        <w:rPr>
          <w:rFonts w:ascii="Arial Narrow" w:hAnsi="Arial Narrow" w:cs="Arial"/>
          <w:sz w:val="23"/>
          <w:szCs w:val="23"/>
          <w:lang w:val="tr-TR" w:eastAsia="tr-TR"/>
        </w:rPr>
      </w:pPr>
      <w:r>
        <w:rPr>
          <w:rFonts w:ascii="Arial Narrow" w:hAnsi="Arial Narrow" w:cs="Arial"/>
          <w:sz w:val="23"/>
          <w:szCs w:val="23"/>
          <w:lang w:val="tr-TR" w:eastAsia="tr-TR"/>
        </w:rPr>
        <w:t xml:space="preserve">Başvurucu, gerçekleştirildikleri iddia edilen tarih itibariyle suç ya da suç unsuru olarak kabul edilmeyen eylemler gerekçe gösterilerek, </w:t>
      </w:r>
      <w:r>
        <w:rPr>
          <w:rFonts w:ascii="Arial Narrow" w:hAnsi="Arial Narrow" w:cs="Arial"/>
          <w:color w:val="000000"/>
          <w:sz w:val="23"/>
          <w:szCs w:val="23"/>
          <w:lang w:val="tr-TR"/>
        </w:rPr>
        <w:t xml:space="preserve">bir daha kamu hizmetinde istihdam edilememek üzere süresiz olarak </w:t>
      </w:r>
      <w:r>
        <w:rPr>
          <w:rFonts w:ascii="Arial Narrow" w:hAnsi="Arial Narrow" w:cs="Arial"/>
          <w:sz w:val="23"/>
          <w:szCs w:val="23"/>
          <w:lang w:val="tr-TR" w:eastAsia="tr-TR"/>
        </w:rPr>
        <w:t xml:space="preserve">“kanunsuz ceza olmaz” ilkesine aykırı şekilde </w:t>
      </w:r>
      <w:r>
        <w:rPr>
          <w:rFonts w:ascii="Arial Narrow" w:hAnsi="Arial Narrow" w:cs="Arial"/>
          <w:color w:val="000000"/>
          <w:sz w:val="23"/>
          <w:szCs w:val="23"/>
          <w:lang w:val="tr-TR"/>
        </w:rPr>
        <w:t>mesleğinden çıkarılmıştır</w:t>
      </w:r>
      <w:r>
        <w:rPr>
          <w:rFonts w:ascii="Arial Narrow" w:hAnsi="Arial Narrow" w:cs="Arial"/>
          <w:sz w:val="23"/>
          <w:szCs w:val="23"/>
          <w:lang w:val="tr-TR" w:eastAsia="tr-TR"/>
        </w:rPr>
        <w:t>.</w:t>
      </w:r>
    </w:p>
    <w:p w:rsidR="00C17D6C" w:rsidRDefault="00C17D6C" w:rsidP="00C17D6C">
      <w:pPr>
        <w:pStyle w:val="ListeParagraf"/>
        <w:numPr>
          <w:ilvl w:val="0"/>
          <w:numId w:val="1"/>
        </w:numPr>
        <w:tabs>
          <w:tab w:val="left" w:pos="709"/>
        </w:tabs>
        <w:autoSpaceDE w:val="0"/>
        <w:autoSpaceDN w:val="0"/>
        <w:adjustRightInd w:val="0"/>
        <w:spacing w:before="0" w:beforeAutospacing="0" w:after="0" w:afterAutospacing="0"/>
        <w:ind w:right="-1"/>
        <w:contextualSpacing/>
        <w:jc w:val="both"/>
        <w:rPr>
          <w:rFonts w:ascii="Arial Narrow" w:hAnsi="Arial Narrow" w:cs="Arial"/>
          <w:sz w:val="23"/>
          <w:szCs w:val="23"/>
          <w:lang w:val="tr-TR" w:eastAsia="tr-TR"/>
        </w:rPr>
      </w:pPr>
      <w:r>
        <w:rPr>
          <w:rFonts w:ascii="Arial Narrow" w:hAnsi="Arial Narrow" w:cs="Arial"/>
          <w:color w:val="000000"/>
          <w:sz w:val="23"/>
          <w:szCs w:val="23"/>
          <w:lang w:val="tr-TR"/>
        </w:rPr>
        <w:t xml:space="preserve">Başvurucu, </w:t>
      </w:r>
      <w:r>
        <w:rPr>
          <w:rFonts w:ascii="Arial Narrow" w:hAnsi="Arial Narrow" w:cs="Arial"/>
          <w:color w:val="000000"/>
          <w:sz w:val="23"/>
          <w:szCs w:val="23"/>
          <w:highlight w:val="yellow"/>
          <w:lang w:val="tr-TR"/>
        </w:rPr>
        <w:t>…tarihinde yayımlanan …sayılı KHK</w:t>
      </w:r>
      <w:r>
        <w:rPr>
          <w:rFonts w:ascii="Arial Narrow" w:hAnsi="Arial Narrow" w:cs="Arial"/>
          <w:color w:val="000000"/>
          <w:sz w:val="23"/>
          <w:szCs w:val="23"/>
          <w:lang w:val="tr-TR"/>
        </w:rPr>
        <w:t xml:space="preserve"> ile FETÖ/PDY olarak anılan yapıyı terör örgütü olarak kabul eden bir kesinleşmiş yargı kararı verilmesinin öncesinde (Yargıtay 16. Ceza Dairesinin 24/4/2017 tarihinde </w:t>
      </w:r>
      <w:r>
        <w:rPr>
          <w:rFonts w:ascii="Arial Narrow" w:hAnsi="Arial Narrow" w:cs="Arial"/>
          <w:color w:val="000000"/>
          <w:sz w:val="23"/>
          <w:szCs w:val="23"/>
          <w:lang w:val="tr-TR"/>
        </w:rPr>
        <w:lastRenderedPageBreak/>
        <w:t>verdiği ve 26/9/2017 tarihinde kesinleşen kararı) ve</w:t>
      </w:r>
      <w:r>
        <w:rPr>
          <w:rFonts w:ascii="Arial Narrow" w:hAnsi="Arial Narrow" w:cs="Arial"/>
          <w:color w:val="0F1419"/>
          <w:sz w:val="23"/>
          <w:szCs w:val="23"/>
          <w:highlight w:val="yellow"/>
          <w:shd w:val="clear" w:color="auto" w:fill="FFFFFF"/>
          <w:lang w:val="tr-TR"/>
        </w:rPr>
        <w:t xml:space="preserve"> hakkında verilen ceza hükmü kesinleşmemesine/</w:t>
      </w:r>
      <w:r>
        <w:rPr>
          <w:rFonts w:ascii="Arial Narrow" w:hAnsi="Arial Narrow" w:cs="Arial"/>
          <w:color w:val="222222"/>
          <w:sz w:val="23"/>
          <w:szCs w:val="23"/>
          <w:highlight w:val="yellow"/>
          <w:lang w:val="tr-TR" w:eastAsia="tr-TR"/>
        </w:rPr>
        <w:t>takipsizlik/beraat kararı almasına/hakkındaki soruşturma/kovuşturma devam etmesine</w:t>
      </w:r>
      <w:r>
        <w:rPr>
          <w:rFonts w:ascii="Arial Narrow" w:hAnsi="Arial Narrow" w:cs="Arial"/>
          <w:color w:val="222222"/>
          <w:sz w:val="23"/>
          <w:szCs w:val="23"/>
          <w:lang w:val="tr-TR" w:eastAsia="tr-TR"/>
        </w:rPr>
        <w:t xml:space="preserve"> rağmen; bu yapıya mensup veya yapıyla irtibatı/iltisakı bulunduğu gerekçesiyle mesleğinden çıkarılmıştır. Bu şekilde ilgili mevzuat, adli makamlar tarafından açıkça keyfi şekilde yorumlanmış ve uygulanmıştır.</w:t>
      </w:r>
    </w:p>
    <w:p w:rsidR="00C17D6C" w:rsidRDefault="00C17D6C" w:rsidP="00C17D6C">
      <w:pPr>
        <w:pStyle w:val="ListeParagraf"/>
        <w:numPr>
          <w:ilvl w:val="0"/>
          <w:numId w:val="1"/>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before="0" w:beforeAutospacing="0" w:after="0" w:afterAutospacing="0"/>
        <w:ind w:right="-1"/>
        <w:contextualSpacing/>
        <w:jc w:val="both"/>
        <w:rPr>
          <w:rFonts w:ascii="Arial Narrow" w:hAnsi="Arial Narrow" w:cs="Arial"/>
          <w:sz w:val="23"/>
          <w:szCs w:val="23"/>
          <w:lang w:val="tr-TR" w:eastAsia="tr-TR"/>
        </w:rPr>
      </w:pPr>
      <w:r>
        <w:rPr>
          <w:rFonts w:ascii="Arial Narrow" w:hAnsi="Arial Narrow" w:cs="Arial"/>
          <w:sz w:val="23"/>
          <w:szCs w:val="23"/>
          <w:lang w:val="tr-TR"/>
        </w:rPr>
        <w:t>OHAL KHK'leri ile daha önce Türk hukuk sisteminde bulunmayan irtibat ve iltisak gibi kavramlar ihdas edilmiştir. Bu kavramların bir disiplin ya da ceza soruşturmasına ilişkin olduklarına dair bir açıklık yoktur. Kamu görevine son verecek yaptırımın iç hukukta bir temelinin bulunması, ilgililerin hukuka erişebilmeleri ve davranışlarının sonuçlarını öngörebilmeleri gerekir (</w:t>
      </w:r>
      <w:r>
        <w:rPr>
          <w:rStyle w:val="dipnotkarakterleri"/>
          <w:rFonts w:ascii="Arial Narrow" w:hAnsi="Arial Narrow" w:cs="Arial"/>
          <w:color w:val="000000" w:themeColor="text1"/>
          <w:sz w:val="23"/>
          <w:szCs w:val="23"/>
          <w:lang w:val="tr-TR"/>
        </w:rPr>
        <w:t>Özpınar/Türkiye,</w:t>
      </w:r>
      <w:r>
        <w:rPr>
          <w:rFonts w:ascii="Arial Narrow" w:hAnsi="Arial Narrow" w:cs="Arial"/>
          <w:color w:val="000000" w:themeColor="text1"/>
          <w:sz w:val="23"/>
          <w:szCs w:val="23"/>
          <w:lang w:val="tr-TR"/>
        </w:rPr>
        <w:t xml:space="preserve"> B. No:20999/04, 19/10/2010, </w:t>
      </w:r>
      <w:r>
        <w:rPr>
          <w:rFonts w:ascii="Arial Narrow" w:hAnsi="Arial Narrow" w:cs="Arial"/>
          <w:color w:val="222222"/>
          <w:sz w:val="23"/>
          <w:szCs w:val="23"/>
          <w:shd w:val="clear" w:color="auto" w:fill="FFFFFF"/>
          <w:lang w:val="tr-TR"/>
        </w:rPr>
        <w:t>§ 52)</w:t>
      </w:r>
      <w:r>
        <w:rPr>
          <w:rFonts w:ascii="Arial Narrow" w:hAnsi="Arial Narrow" w:cs="Arial"/>
          <w:sz w:val="23"/>
          <w:szCs w:val="23"/>
          <w:lang w:val="tr-TR"/>
        </w:rPr>
        <w:t xml:space="preserve">. Ancak, OHAL KHK'leri ile getirilen kavramlar yeterince açık olmadıklarından her türlü olayı içine alacak şekilde yorumlanmaya müsaittir. Ayrıca, bu kavramların ilgililerin özel yaşamlarına mı yoksa mesleki yaşamlarına mı ilişkin olduğu belli olmadığından, mesleki veya özel yaşamlarındaki davranışlarından hangilerinin hukuka aykırı olduğunu öngörebilmeleri mümkün değildir. Fakat özellikle anayasal düzeni ortadan kaldırmayı hedefleyen bir örgütle bağlantıyı ifade eden kavramların açık ve belirgin olması gerekir. </w:t>
      </w:r>
    </w:p>
    <w:p w:rsidR="00C17D6C" w:rsidRDefault="00C17D6C" w:rsidP="00C17D6C">
      <w:pPr>
        <w:pStyle w:val="ListeParagraf"/>
        <w:numPr>
          <w:ilvl w:val="0"/>
          <w:numId w:val="1"/>
        </w:numPr>
        <w:spacing w:before="0" w:beforeAutospacing="0" w:after="0" w:afterAutospacing="0"/>
        <w:ind w:right="-1"/>
        <w:contextualSpacing/>
        <w:jc w:val="both"/>
        <w:rPr>
          <w:rFonts w:ascii="Arial Narrow" w:hAnsi="Arial Narrow" w:cs="Arial"/>
          <w:sz w:val="23"/>
          <w:szCs w:val="23"/>
          <w:lang w:val="tr-TR"/>
        </w:rPr>
      </w:pPr>
      <w:r>
        <w:rPr>
          <w:rFonts w:ascii="Arial Narrow" w:hAnsi="Arial Narrow" w:cs="Arial"/>
          <w:sz w:val="23"/>
          <w:szCs w:val="23"/>
          <w:lang w:val="tr-TR"/>
        </w:rPr>
        <w:t>Memurlara, devlete yönelen ve mevcut Anayasal sistemin özüne karşı çıkan gruplardan kendilerini soyutlama ödevi yüklenmiştir (</w:t>
      </w:r>
      <w:r>
        <w:rPr>
          <w:rStyle w:val="dipnotkarakterleri"/>
          <w:rFonts w:ascii="Arial Narrow" w:hAnsi="Arial Narrow" w:cs="Arial"/>
          <w:color w:val="000000" w:themeColor="text1"/>
          <w:sz w:val="23"/>
          <w:szCs w:val="23"/>
          <w:lang w:val="tr-TR"/>
        </w:rPr>
        <w:t>Özpınar/Türkiye,</w:t>
      </w:r>
      <w:r>
        <w:rPr>
          <w:rFonts w:ascii="Arial Narrow" w:hAnsi="Arial Narrow" w:cs="Arial"/>
          <w:color w:val="000000" w:themeColor="text1"/>
          <w:sz w:val="23"/>
          <w:szCs w:val="23"/>
          <w:lang w:val="tr-TR"/>
        </w:rPr>
        <w:t xml:space="preserve"> No. 20999/04, 19/10/2010, </w:t>
      </w:r>
      <w:r>
        <w:rPr>
          <w:rFonts w:ascii="Arial Narrow" w:hAnsi="Arial Narrow" w:cs="Arial"/>
          <w:color w:val="222222"/>
          <w:sz w:val="23"/>
          <w:szCs w:val="23"/>
          <w:shd w:val="clear" w:color="auto" w:fill="FFFFFF"/>
          <w:lang w:val="tr-TR"/>
        </w:rPr>
        <w:t>§ 52).</w:t>
      </w:r>
      <w:r>
        <w:rPr>
          <w:rFonts w:ascii="Arial Narrow" w:hAnsi="Arial Narrow" w:cs="Arial"/>
          <w:sz w:val="23"/>
          <w:szCs w:val="23"/>
          <w:lang w:val="tr-TR"/>
        </w:rPr>
        <w:t xml:space="preserve"> Bu ödeve aykırı davrananlarının cezalandırılmasında bir sakınca yoktur. Ancak, bu ödevin hangi hallerde ihlal edildiği konusunda idareye denetimsiz ve geniş takdir yetkisi veren OHAL KHK'si ile önceki kanuni düzenlemelerde yer almayan muğlâk ve müphem kavramlarla işlem tesisi devletin izlediği meşru amaçla orantılı değildir (</w:t>
      </w:r>
      <w:r>
        <w:rPr>
          <w:rFonts w:ascii="Arial Narrow" w:hAnsi="Arial Narrow" w:cs="Arial"/>
          <w:color w:val="000000" w:themeColor="text1"/>
          <w:sz w:val="23"/>
          <w:szCs w:val="23"/>
          <w:lang w:val="tr-TR"/>
        </w:rPr>
        <w:t xml:space="preserve">Al Nashif/Bulgaristan, </w:t>
      </w:r>
      <w:r>
        <w:rPr>
          <w:rStyle w:val="dipnotkarakterleri"/>
          <w:rFonts w:ascii="Arial Narrow" w:hAnsi="Arial Narrow" w:cs="Arial"/>
          <w:color w:val="000000" w:themeColor="text1"/>
          <w:sz w:val="23"/>
          <w:szCs w:val="23"/>
          <w:lang w:val="tr-TR"/>
        </w:rPr>
        <w:t xml:space="preserve">No. 50963/99, 20/6/2002, </w:t>
      </w:r>
      <w:r>
        <w:rPr>
          <w:rFonts w:ascii="Arial Narrow" w:hAnsi="Arial Narrow" w:cs="Arial"/>
          <w:color w:val="222222"/>
          <w:sz w:val="23"/>
          <w:szCs w:val="23"/>
          <w:shd w:val="clear" w:color="auto" w:fill="FFFFFF"/>
          <w:lang w:val="tr-TR"/>
        </w:rPr>
        <w:t xml:space="preserve">§ </w:t>
      </w:r>
      <w:r>
        <w:rPr>
          <w:rFonts w:ascii="Arial Narrow" w:hAnsi="Arial Narrow" w:cs="Arial"/>
          <w:color w:val="000000" w:themeColor="text1"/>
          <w:sz w:val="23"/>
          <w:szCs w:val="23"/>
          <w:lang w:val="tr-TR"/>
        </w:rPr>
        <w:t>119-124).</w:t>
      </w:r>
    </w:p>
    <w:p w:rsidR="00C17D6C" w:rsidRDefault="00C17D6C" w:rsidP="00C17D6C">
      <w:pPr>
        <w:pStyle w:val="ListeParagraf"/>
        <w:numPr>
          <w:ilvl w:val="0"/>
          <w:numId w:val="1"/>
        </w:numPr>
        <w:spacing w:before="0" w:beforeAutospacing="0" w:after="0" w:afterAutospacing="0"/>
        <w:ind w:right="-1"/>
        <w:contextualSpacing/>
        <w:jc w:val="both"/>
        <w:rPr>
          <w:rFonts w:ascii="Arial Narrow" w:hAnsi="Arial Narrow" w:cs="Arial"/>
          <w:sz w:val="23"/>
          <w:szCs w:val="23"/>
          <w:lang w:val="tr-TR"/>
        </w:rPr>
      </w:pPr>
      <w:r>
        <w:rPr>
          <w:rFonts w:ascii="Arial Narrow" w:hAnsi="Arial Narrow" w:cs="Arial"/>
          <w:sz w:val="23"/>
          <w:szCs w:val="23"/>
          <w:highlight w:val="yellow"/>
          <w:lang w:val="tr-TR"/>
        </w:rPr>
        <w:t>….sayılı OHAL KHK'sinin …maddesinde;</w:t>
      </w:r>
      <w:r>
        <w:rPr>
          <w:rFonts w:ascii="Arial Narrow" w:hAnsi="Arial Narrow" w:cs="Arial"/>
          <w:sz w:val="23"/>
          <w:szCs w:val="23"/>
          <w:lang w:val="tr-TR"/>
        </w:rPr>
        <w:t xml:space="preserve"> "</w:t>
      </w:r>
      <w:r>
        <w:rPr>
          <w:rFonts w:ascii="Arial Narrow" w:hAnsi="Arial Narrow" w:cs="Arial"/>
          <w:i/>
          <w:iCs/>
          <w:color w:val="000000"/>
          <w:sz w:val="23"/>
          <w:szCs w:val="23"/>
          <w:lang w:val="tr-TR"/>
        </w:rPr>
        <w:t>Terör örgütlerine veya Milli Güvenlik Kurulunca Devletin milli güvenliğine karşı faaliyette bulunduğuna karar verilen yapı, oluşum veya gruplara üyeliği, mensubiyeti veya </w:t>
      </w:r>
      <w:r>
        <w:rPr>
          <w:rStyle w:val="spelle"/>
          <w:rFonts w:ascii="Arial Narrow" w:hAnsi="Arial Narrow" w:cs="Arial"/>
          <w:i/>
          <w:iCs/>
          <w:color w:val="000000"/>
          <w:sz w:val="23"/>
          <w:szCs w:val="23"/>
          <w:lang w:val="tr-TR"/>
        </w:rPr>
        <w:t>iltisakı</w:t>
      </w:r>
      <w:r>
        <w:rPr>
          <w:rFonts w:ascii="Arial Narrow" w:hAnsi="Arial Narrow" w:cs="Arial"/>
          <w:i/>
          <w:iCs/>
          <w:color w:val="000000"/>
          <w:sz w:val="23"/>
          <w:szCs w:val="23"/>
          <w:lang w:val="tr-TR"/>
        </w:rPr>
        <w:t> yahut bunlarla irtibatı olan ve ekli (1) sayılı listede yer alan kişiler kamu görevinden başka hiçbir işleme gerek kalmaksızın çıkarılmıştır</w:t>
      </w:r>
      <w:r>
        <w:rPr>
          <w:rFonts w:ascii="Arial Narrow" w:hAnsi="Arial Narrow" w:cs="Arial"/>
          <w:sz w:val="23"/>
          <w:szCs w:val="23"/>
          <w:lang w:val="tr-TR"/>
        </w:rPr>
        <w:t>" ifadesine yer verilmiştir. Maddeden de anlaşılacağı üzere, terör örgütü ve bu şekilde kabul edilen yapılarla bağlantıyı gösteren dört farklı ilişki tipine yer verilmiş olup ilgililere hangi davranış(lar)ı sebebiyle sayılan ilişki tiplerinden birine girdiğinin bildirilmesi gerekir. Ancak, meslekten çıkarmaya esas OHAL KHK’sında bu konuda bir bireyselleştirme yapılmamış ve herkesle ilgili aynı şablon karar verilerek yasallık ilkesi ihlal edilmiştir.</w:t>
      </w:r>
    </w:p>
    <w:p w:rsidR="00C17D6C" w:rsidRDefault="00C17D6C" w:rsidP="00C17D6C">
      <w:pPr>
        <w:pStyle w:val="ListeParagraf"/>
        <w:numPr>
          <w:ilvl w:val="0"/>
          <w:numId w:val="1"/>
        </w:numPr>
        <w:spacing w:before="0" w:beforeAutospacing="0" w:after="0" w:afterAutospacing="0"/>
        <w:ind w:right="-1"/>
        <w:contextualSpacing/>
        <w:jc w:val="both"/>
        <w:rPr>
          <w:rFonts w:ascii="Arial Narrow" w:hAnsi="Arial Narrow" w:cs="Arial"/>
          <w:sz w:val="23"/>
          <w:szCs w:val="23"/>
          <w:lang w:val="tr-TR"/>
        </w:rPr>
      </w:pPr>
      <w:r>
        <w:rPr>
          <w:rFonts w:ascii="Arial Narrow" w:hAnsi="Arial Narrow" w:cs="Arial"/>
          <w:sz w:val="23"/>
          <w:szCs w:val="23"/>
          <w:lang w:val="tr-TR"/>
        </w:rPr>
        <w:t>Ayrıca, maddedeki “Milli Güvenlik Kurulunca devletin milli güvenliğine karşı faaliyette bulunduğuna karar verilen yapı, oluşum veya gruplara” ifadesi de açıkça suç ve cezada yasallık ilkesine aykırıdır. Çünkü bu ifadeyle, yasama organının daha belirli ve açık yasa çıkarma yükümlülüğü ihlal edilerek ve Anayasa'nın 38/3. ve TCK'nın 2/2. maddelerine aykırı olarak idareye düzenleyici işlemlerle suç ve ceza ihdası imkânı verilmiştir. Başka bir ifadeyle, kesinleşmiş mahkeme kararı olmaksızın MGK tarafından alınacak kararla herhangi bir yapı sakıncalı, kişilerde bu yapıyla irtibatlı kabul edilerek suçlu ilan edilebilecektir. Ancak, t</w:t>
      </w:r>
      <w:r>
        <w:rPr>
          <w:rFonts w:ascii="Arial Narrow" w:hAnsi="Arial Narrow" w:cs="Arial"/>
          <w:color w:val="222222"/>
          <w:sz w:val="23"/>
          <w:szCs w:val="23"/>
          <w:lang w:val="tr-TR" w:eastAsia="tr-TR"/>
        </w:rPr>
        <w:t xml:space="preserve">erör örgütü üyeliği ceza hukuku anlamında bir suç tipidir ve ancak adil bir yargılama neticesinde elde edilen kesin hükümle ortaya konulabilir. </w:t>
      </w:r>
      <w:r>
        <w:rPr>
          <w:rFonts w:ascii="Arial Narrow" w:hAnsi="Arial Narrow" w:cs="Arial"/>
          <w:sz w:val="23"/>
          <w:szCs w:val="23"/>
          <w:lang w:val="tr-TR"/>
        </w:rPr>
        <w:t>Ayrıca, başvurucunun irtibatlı ve iltisaklı olduğu iddia edilen yapının silahlı bir terör örgütü olduğuna ilişkin ihraç kararının verildiği tarih itibariyle kesinleşmiş bir mahkeme kararı yoktur. Zira bu yönde verilmiş ilk karar, 26/9/2017 tarihinde kesinleşmiştir.</w:t>
      </w:r>
    </w:p>
    <w:p w:rsidR="00C17D6C" w:rsidRDefault="00C17D6C" w:rsidP="00C17D6C">
      <w:pPr>
        <w:pStyle w:val="ListeParagraf"/>
        <w:numPr>
          <w:ilvl w:val="0"/>
          <w:numId w:val="1"/>
        </w:numPr>
        <w:tabs>
          <w:tab w:val="left" w:pos="709"/>
        </w:tabs>
        <w:spacing w:before="0" w:beforeAutospacing="0" w:after="0" w:afterAutospacing="0"/>
        <w:ind w:right="-1"/>
        <w:contextualSpacing/>
        <w:jc w:val="both"/>
        <w:rPr>
          <w:rFonts w:ascii="Arial Narrow" w:hAnsi="Arial Narrow" w:cs="Arial"/>
          <w:sz w:val="23"/>
          <w:szCs w:val="23"/>
          <w:lang w:val="tr-TR"/>
        </w:rPr>
      </w:pPr>
      <w:r>
        <w:rPr>
          <w:rFonts w:ascii="Arial Narrow" w:hAnsi="Arial Narrow" w:cs="Arial"/>
          <w:color w:val="222222"/>
          <w:sz w:val="23"/>
          <w:szCs w:val="23"/>
          <w:lang w:val="tr-TR" w:eastAsia="tr-TR"/>
        </w:rPr>
        <w:t>Meslekten çıkarılmanın dayanağı olan eylemlerin hakkında en ağır disiplin cezasının uygulanmasına neden olabileceğinin başvuru tarafından öngörülebilmesi mümkün değildi.</w:t>
      </w:r>
      <w:r>
        <w:rPr>
          <w:rFonts w:ascii="Arial Narrow" w:hAnsi="Arial Narrow" w:cs="Arial"/>
          <w:sz w:val="23"/>
          <w:szCs w:val="23"/>
          <w:lang w:val="tr-TR" w:eastAsia="tr-TR"/>
        </w:rPr>
        <w:t xml:space="preserve"> </w:t>
      </w:r>
      <w:r>
        <w:rPr>
          <w:rFonts w:ascii="Arial Narrow" w:hAnsi="Arial Narrow" w:cs="Arial"/>
          <w:color w:val="222222"/>
          <w:sz w:val="23"/>
          <w:szCs w:val="23"/>
          <w:lang w:val="tr-TR" w:eastAsia="tr-TR"/>
        </w:rPr>
        <w:t xml:space="preserve">Örneğin, başvurucunun 15 Temmuz öncesi “cemaat” olarak kabul edilen ve geniş toplum kesimleri ile üst düzey yetkililer tarafından desteklenen bir toplumsal yapıya dâhil olduğu kabul edilse bile, söz konusu yapının sonradan terör örgütü olarak ilan edileceğini öngörmesi mümkün değildir. Aynı şekilde, iddia edilen </w:t>
      </w:r>
      <w:r>
        <w:rPr>
          <w:rFonts w:ascii="Arial Narrow" w:hAnsi="Arial Narrow" w:cs="Arial"/>
          <w:color w:val="222222"/>
          <w:sz w:val="23"/>
          <w:szCs w:val="23"/>
          <w:highlight w:val="yellow"/>
          <w:lang w:val="tr-TR" w:eastAsia="tr-TR"/>
        </w:rPr>
        <w:t>Bylock kullanma, ankesörle aranma, fişlemeye dayalı Garson isimli gizli tanıktan elde edilen SD kart, Bank Asya’ya para yatırma, derneğe/sendikaya üye olma</w:t>
      </w:r>
      <w:r>
        <w:rPr>
          <w:rFonts w:ascii="Arial Narrow" w:hAnsi="Arial Narrow" w:cs="Arial"/>
          <w:color w:val="222222"/>
          <w:sz w:val="23"/>
          <w:szCs w:val="23"/>
          <w:lang w:val="tr-TR" w:eastAsia="tr-TR"/>
        </w:rPr>
        <w:t xml:space="preserve"> ya da benzer bir takım yasal faaliyetlerde bulunma gibi eylemlerin sonradan meslekten çıkarmaya dayanak olarak kabul edileceğini öngörmüş olması başvurucudan beklenemez.</w:t>
      </w:r>
    </w:p>
    <w:p w:rsidR="00C17D6C" w:rsidRDefault="00C17D6C" w:rsidP="00C17D6C">
      <w:pPr>
        <w:pStyle w:val="ListeParagraf"/>
        <w:numPr>
          <w:ilvl w:val="0"/>
          <w:numId w:val="1"/>
        </w:numPr>
        <w:tabs>
          <w:tab w:val="left" w:pos="709"/>
        </w:tabs>
        <w:autoSpaceDE w:val="0"/>
        <w:autoSpaceDN w:val="0"/>
        <w:adjustRightInd w:val="0"/>
        <w:spacing w:before="0" w:beforeAutospacing="0" w:after="0" w:afterAutospacing="0"/>
        <w:ind w:right="-1"/>
        <w:contextualSpacing/>
        <w:jc w:val="both"/>
        <w:rPr>
          <w:rFonts w:ascii="Arial Narrow" w:hAnsi="Arial Narrow" w:cs="Arial"/>
          <w:sz w:val="23"/>
          <w:szCs w:val="23"/>
          <w:lang w:val="tr-TR" w:eastAsia="tr-TR"/>
        </w:rPr>
      </w:pPr>
      <w:r>
        <w:rPr>
          <w:rFonts w:ascii="Arial Narrow" w:hAnsi="Arial Narrow" w:cs="Arial"/>
          <w:sz w:val="23"/>
          <w:szCs w:val="23"/>
          <w:lang w:val="tr-TR"/>
        </w:rPr>
        <w:t xml:space="preserve">Başvurucunun meslekten çıkarıldığı </w:t>
      </w:r>
      <w:r>
        <w:rPr>
          <w:rFonts w:ascii="Arial Narrow" w:hAnsi="Arial Narrow" w:cs="Arial"/>
          <w:sz w:val="23"/>
          <w:szCs w:val="23"/>
          <w:highlight w:val="yellow"/>
          <w:lang w:val="tr-TR"/>
        </w:rPr>
        <w:t>...sayılı OHAL KHK'sinin …/…/…</w:t>
      </w:r>
      <w:r>
        <w:rPr>
          <w:rFonts w:ascii="Arial Narrow" w:hAnsi="Arial Narrow" w:cs="Arial"/>
          <w:sz w:val="23"/>
          <w:szCs w:val="23"/>
          <w:lang w:val="tr-TR"/>
        </w:rPr>
        <w:t xml:space="preserve"> tarihinde yayımlandığı dikkate alındığında, bu kanuni düzenlemenin yayımlandığı tarihten sonra gerçekleştirilen eylem ve davranışlar için geçerli olması gerekir. Ancak, </w:t>
      </w:r>
      <w:r>
        <w:rPr>
          <w:rFonts w:ascii="Arial Narrow" w:hAnsi="Arial Narrow" w:cs="Arial"/>
          <w:sz w:val="23"/>
          <w:szCs w:val="23"/>
          <w:lang w:val="tr-TR" w:eastAsia="tr-TR"/>
        </w:rPr>
        <w:t xml:space="preserve">OHAL Komisyonu’nun ret kararında ve sonraki idari yargı kararlarında, başvurucunun meslekten ihraç edilmesine dayanak olarak gösterilen tüm deliller/iddialar, </w:t>
      </w:r>
      <w:r>
        <w:rPr>
          <w:rFonts w:ascii="Arial Narrow" w:hAnsi="Arial Narrow" w:cs="Arial"/>
          <w:sz w:val="23"/>
          <w:szCs w:val="23"/>
          <w:highlight w:val="yellow"/>
          <w:lang w:val="tr-TR" w:eastAsia="tr-TR"/>
        </w:rPr>
        <w:t>…sayılı KHK'nın yürürlüğe girdiği …</w:t>
      </w:r>
      <w:r>
        <w:rPr>
          <w:rFonts w:ascii="Arial Narrow" w:hAnsi="Arial Narrow" w:cs="Arial"/>
          <w:sz w:val="23"/>
          <w:szCs w:val="23"/>
          <w:lang w:val="tr-TR" w:eastAsia="tr-TR"/>
        </w:rPr>
        <w:t>tarihinden çok önceki tarihlere aittir.</w:t>
      </w:r>
      <w:r>
        <w:rPr>
          <w:rFonts w:ascii="Arial Narrow" w:hAnsi="Arial Narrow" w:cs="Arial"/>
          <w:sz w:val="23"/>
          <w:szCs w:val="23"/>
          <w:lang w:val="tr-TR"/>
        </w:rPr>
        <w:t xml:space="preserve"> Yine, meslekten çıkarma kararına konu KHK’da bireyselleştirme yapılmadığı için başvurucunun hangi eylem ve davranışlarının yaptırıma konu edildiği belli değildir ve KHK hükmü geçmişe yürür şekilde uygulanarak AİHS'in 7. maddesine aykırı davranılmıştır. Yine, geçmişe ilişkin olan bu hususlara ilişkin yasada öngörülen disiplin ve ceza zamanaşımı sürelerinin geçip geçmediği de hiçbir şekilde tartışılmamıştır. </w:t>
      </w:r>
      <w:r>
        <w:rPr>
          <w:rFonts w:ascii="Arial Narrow" w:hAnsi="Arial Narrow" w:cs="Arial"/>
          <w:color w:val="222222"/>
          <w:sz w:val="23"/>
          <w:szCs w:val="23"/>
          <w:lang w:val="tr-TR" w:eastAsia="tr-TR"/>
        </w:rPr>
        <w:t>Özetle başvurucu; suç teşkil etmeyen, tam tersine yasal ve meşru faaliyetler gerekçe gösterilerek mesleğinden çıkarılmıştır.</w:t>
      </w:r>
    </w:p>
    <w:p w:rsidR="00C17D6C" w:rsidRDefault="00C17D6C" w:rsidP="00C17D6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before="120" w:after="0" w:line="240" w:lineRule="auto"/>
        <w:ind w:right="-1"/>
        <w:jc w:val="center"/>
        <w:outlineLvl w:val="0"/>
        <w:rPr>
          <w:rFonts w:ascii="Arial Narrow" w:eastAsia="Times New Roman" w:hAnsi="Arial Narrow" w:cs="Arial"/>
          <w:b/>
          <w:bCs/>
          <w:sz w:val="24"/>
          <w:szCs w:val="24"/>
          <w:u w:val="single"/>
          <w:lang w:eastAsia="tr-TR"/>
        </w:rPr>
      </w:pPr>
      <w:r>
        <w:rPr>
          <w:rFonts w:ascii="Arial Narrow" w:eastAsia="Times New Roman" w:hAnsi="Arial Narrow" w:cs="Arial"/>
          <w:sz w:val="24"/>
          <w:szCs w:val="24"/>
          <w:lang w:eastAsia="tr-TR"/>
        </w:rPr>
        <w:lastRenderedPageBreak/>
        <w:t xml:space="preserve">          </w:t>
      </w:r>
      <w:r>
        <w:rPr>
          <w:rFonts w:ascii="Arial Narrow" w:eastAsia="Times New Roman" w:hAnsi="Arial Narrow" w:cs="Arial"/>
          <w:b/>
          <w:bCs/>
          <w:sz w:val="24"/>
          <w:szCs w:val="24"/>
          <w:u w:val="single"/>
          <w:lang w:eastAsia="tr-TR"/>
        </w:rPr>
        <w:t>Anayasa’nın 20, 22 ve AİHS'in 8. Maddesi Kapsamındaki Şikayetlere İlişkin Ek Açıklamalar</w:t>
      </w:r>
    </w:p>
    <w:p w:rsidR="00C17D6C" w:rsidRDefault="00C17D6C" w:rsidP="00C17D6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before="120" w:after="0" w:line="240" w:lineRule="auto"/>
        <w:ind w:right="-1"/>
        <w:outlineLvl w:val="0"/>
        <w:rPr>
          <w:rFonts w:ascii="Arial Narrow" w:eastAsia="Times New Roman" w:hAnsi="Arial Narrow" w:cs="Arial"/>
          <w:b/>
          <w:bCs/>
          <w:sz w:val="23"/>
          <w:szCs w:val="23"/>
          <w:u w:val="single"/>
          <w:lang w:eastAsia="tr-TR"/>
        </w:rPr>
      </w:pPr>
    </w:p>
    <w:p w:rsidR="00C17D6C" w:rsidRDefault="00C17D6C" w:rsidP="00C17D6C">
      <w:pPr>
        <w:pStyle w:val="ListeParagraf"/>
        <w:numPr>
          <w:ilvl w:val="0"/>
          <w:numId w:val="1"/>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before="0" w:beforeAutospacing="0" w:after="0" w:afterAutospacing="0"/>
        <w:ind w:right="-1"/>
        <w:contextualSpacing/>
        <w:jc w:val="both"/>
        <w:rPr>
          <w:rFonts w:ascii="Arial Narrow" w:hAnsi="Arial Narrow" w:cs="Arial"/>
          <w:color w:val="000000"/>
          <w:sz w:val="23"/>
          <w:szCs w:val="23"/>
          <w:lang w:val="tr-TR"/>
        </w:rPr>
      </w:pPr>
      <w:r>
        <w:rPr>
          <w:rFonts w:ascii="Arial Narrow" w:hAnsi="Arial Narrow" w:cs="Arial"/>
          <w:color w:val="000000"/>
          <w:sz w:val="23"/>
          <w:szCs w:val="23"/>
          <w:lang w:val="tr-TR"/>
        </w:rPr>
        <w:t>Özel hayatına saygı hakkına müdahalenin kanuni</w:t>
      </w:r>
      <w:r>
        <w:rPr>
          <w:rFonts w:ascii="Arial Narrow" w:hAnsi="Arial Narrow" w:cs="Arial"/>
          <w:b/>
          <w:color w:val="000000"/>
          <w:sz w:val="23"/>
          <w:szCs w:val="23"/>
          <w:lang w:val="tr-TR"/>
        </w:rPr>
        <w:t xml:space="preserve"> </w:t>
      </w:r>
      <w:r>
        <w:rPr>
          <w:rFonts w:ascii="Arial Narrow" w:hAnsi="Arial Narrow" w:cs="Arial"/>
          <w:color w:val="000000"/>
          <w:sz w:val="23"/>
          <w:szCs w:val="23"/>
          <w:lang w:val="tr-TR"/>
        </w:rPr>
        <w:t xml:space="preserve">dayanağı bulunmamaktadır. Başvurucunun özel hayatına haksız müdahale edilmesinin ve mesleğinden ihraç edilmesinin dayanağı, </w:t>
      </w:r>
      <w:r>
        <w:rPr>
          <w:rFonts w:ascii="Arial Narrow" w:hAnsi="Arial Narrow" w:cs="Arial"/>
          <w:color w:val="000000"/>
          <w:sz w:val="23"/>
          <w:szCs w:val="23"/>
          <w:highlight w:val="yellow"/>
          <w:lang w:val="tr-TR"/>
        </w:rPr>
        <w:t>…sayılı KHK’nın …maddesidir.</w:t>
      </w:r>
      <w:r>
        <w:rPr>
          <w:rFonts w:ascii="Arial Narrow" w:hAnsi="Arial Narrow" w:cs="Arial"/>
          <w:color w:val="000000"/>
          <w:sz w:val="23"/>
          <w:szCs w:val="23"/>
          <w:lang w:val="tr-TR"/>
        </w:rPr>
        <w:t xml:space="preserve"> Bu madde, başvurucunun geçmişe dayalı olası eylem ve ilişkilerinden hareketle sonuç doğuran bir düzenlemedir, “erişilebilirlik” ve “öngörülebilirlik” kriterlerini karşılamamaktadır. Zira söz konusu madde, kişilerin davranışları düzenlemelerine ve sonuçlarını öngörebilmelerine elverişli kesinlikte formüle edilmemiştir. Madde ile idareye kamu görevlilerini meslekten çıkarma yetkisi verilmiş ancak idareye tanınan takdir yetkisinin kapsamı ve kullanım tarzı gösterilmemiştir. Diğer taraftan, </w:t>
      </w:r>
      <w:r>
        <w:rPr>
          <w:rFonts w:ascii="Arial Narrow" w:hAnsi="Arial Narrow" w:cs="Arial"/>
          <w:color w:val="000000"/>
          <w:sz w:val="23"/>
          <w:szCs w:val="23"/>
          <w:highlight w:val="yellow"/>
          <w:lang w:val="tr-TR"/>
        </w:rPr>
        <w:t>…sayılı OHAL KHK’sı</w:t>
      </w:r>
      <w:r>
        <w:rPr>
          <w:rFonts w:ascii="Arial Narrow" w:hAnsi="Arial Narrow" w:cs="Arial"/>
          <w:color w:val="000000"/>
          <w:sz w:val="23"/>
          <w:szCs w:val="23"/>
          <w:lang w:val="tr-TR"/>
        </w:rPr>
        <w:t>, şekil ve esas bakımından Anayasaya uygun şekilde çıkarılmamıştır. Ayrıca, müdahalenin objektif meşru bir amacı bulunmamaktadır ve demokratik bir toplumda gerekli olma koşulunu da karşılamamaktadır.</w:t>
      </w:r>
    </w:p>
    <w:p w:rsidR="00C17D6C" w:rsidRDefault="00C17D6C" w:rsidP="00C17D6C">
      <w:pPr>
        <w:pStyle w:val="ListeParagraf"/>
        <w:numPr>
          <w:ilvl w:val="0"/>
          <w:numId w:val="1"/>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before="0" w:beforeAutospacing="0" w:after="0" w:afterAutospacing="0"/>
        <w:ind w:right="-1"/>
        <w:contextualSpacing/>
        <w:jc w:val="both"/>
        <w:rPr>
          <w:rFonts w:ascii="Arial Narrow" w:hAnsi="Arial Narrow" w:cs="Arial"/>
          <w:color w:val="000000"/>
          <w:sz w:val="23"/>
          <w:szCs w:val="23"/>
          <w:lang w:val="tr-TR"/>
        </w:rPr>
      </w:pPr>
      <w:r>
        <w:rPr>
          <w:rFonts w:ascii="Arial Narrow" w:hAnsi="Arial Narrow" w:cs="Arial"/>
          <w:color w:val="000000"/>
          <w:sz w:val="23"/>
          <w:szCs w:val="23"/>
          <w:lang w:val="tr-TR"/>
        </w:rPr>
        <w:t>Başvurucunun, kişisel itibar hakkı da dâhil, özel yaşamına farklı nedenlerle ve farklı açılardan gerçekleştirilen müdahalenin AİHS'in 8. maddesine uygun kabul edilebilmesi için her şeyden önce “yasayla öngörülmüş olması” gerekmektedir. AİHM içtihatlarına göre “yasayla öngörülme”, sadece uygulanan tedbirin kanuni bir temelinin olmasını değil, ayrıca yasanın içeriğini de ihtiva etmektedir. Bu bağlamda uygulanan tedbir/yasa ilgili kişi tarafından ‘erişilebilir’ olmalı, ‘etkileri öngörülebilir’ olmalı ve ‘hukukun üstünlüğü ilkesine uygun’ olmalıdır (Özpınar/Türkiye; N. F/İtalya Kararı).</w:t>
      </w:r>
    </w:p>
    <w:p w:rsidR="00C17D6C" w:rsidRDefault="00C17D6C" w:rsidP="00C17D6C">
      <w:pPr>
        <w:pStyle w:val="ListeParagraf"/>
        <w:numPr>
          <w:ilvl w:val="0"/>
          <w:numId w:val="1"/>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before="0" w:beforeAutospacing="0" w:after="0" w:afterAutospacing="0"/>
        <w:ind w:right="-1"/>
        <w:contextualSpacing/>
        <w:jc w:val="both"/>
        <w:rPr>
          <w:rFonts w:ascii="Arial Narrow" w:hAnsi="Arial Narrow" w:cs="Arial"/>
          <w:color w:val="000000"/>
          <w:sz w:val="23"/>
          <w:szCs w:val="23"/>
          <w:lang w:val="tr-TR"/>
        </w:rPr>
      </w:pPr>
      <w:r>
        <w:rPr>
          <w:rFonts w:ascii="Arial Narrow" w:hAnsi="Arial Narrow" w:cs="Arial"/>
          <w:color w:val="000000"/>
          <w:sz w:val="23"/>
          <w:szCs w:val="23"/>
          <w:lang w:val="tr-TR"/>
        </w:rPr>
        <w:t>Buna göre; ilk olarak, yasanın yeterince “erişilebilir” kabul edilebilmesi için, ilgililerin belirli bir olaya uygulanacak hukuk kurallarının ayrıntıları konusunda yeterince bilgi sahibi olması gerekir. “Uygulanabilir” kabul edilebilmesi için ise normun, ilgililerin kendi davranışlarını düzenlemelerini sağlayacak bir açıklık ve belirginlikte ifade edilmiş olması gerekir (Sunday Times/Birleşik Krallık Kararı). AİHM’e göre bir kural, ancak kişilerin davranışlarını düzenlemesine ve sonuçlarını öngörebilmesine elverişli/yeterli kesinlikte formüle edilmiş ise öngörülebilir niteliktedir. Ayrıca, bir hakka kamu makamlarınca keyfi müdahalede bulunulmasına karşı iç hukukta gerekli hukuki koruma tedbirleri öngörülmüş olmalıdır. Temel hakları etkileyen konularda, idareye dizginsiz ve kontrolsüz bir takdir hakkı verilmesi hukukun üstünlüğü ilkesine aykırıdır. Bu nedenle, keyfi müdahaleye karşı yeterli koruma sağlamak için kanun, yetkili makamlara verilen takdir hakkının kapsamını ve kullanım tarzını öngörülen tedbirin meşru hedefini de göz önünde bulundurarak göstermek zorundadır (Al-Nashif/Bulgaristan; Amenn/İsviçre; Rotaru/Romanya; Klass ve diğerleri/Almanya; Ostrover/Moldova Kararları). Diğer bir ifadeyle, idareye tanınan yetkinin keyfi ve kötüye kullanımını engelleyen ve kanuna uygun olarak kullanılmasını sağlayan güvenceler olmalıdır.</w:t>
      </w:r>
    </w:p>
    <w:p w:rsidR="00C17D6C" w:rsidRDefault="00C17D6C" w:rsidP="00C17D6C">
      <w:pPr>
        <w:pStyle w:val="ListeParagraf"/>
        <w:numPr>
          <w:ilvl w:val="0"/>
          <w:numId w:val="1"/>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before="0" w:beforeAutospacing="0" w:after="0" w:afterAutospacing="0"/>
        <w:ind w:right="-1"/>
        <w:contextualSpacing/>
        <w:jc w:val="both"/>
        <w:rPr>
          <w:rFonts w:ascii="Arial Narrow" w:hAnsi="Arial Narrow" w:cs="Arial"/>
          <w:color w:val="000000"/>
          <w:sz w:val="23"/>
          <w:szCs w:val="23"/>
          <w:lang w:val="tr-TR"/>
        </w:rPr>
      </w:pPr>
      <w:r>
        <w:rPr>
          <w:rFonts w:ascii="Arial Narrow" w:hAnsi="Arial Narrow" w:cs="Arial"/>
          <w:color w:val="000000"/>
          <w:sz w:val="23"/>
          <w:szCs w:val="23"/>
          <w:lang w:val="tr-TR"/>
        </w:rPr>
        <w:t>İlgili kişi idarenin savını sorgulayabilmelidir. İdarenin neyin ulusal güvenliğe tehdit oluşturduğuna dair değerlendirmesi özel bir ağırlığa sahip olmakla beraber, makul bir temel bulunmadığı ya da ulusal güvenlik yorumunun hukuksuz, keyfi ve ortak anlayışa ters olduğu durumlarda, bağımsız bir makam tarafından müdahale edilebilmelidir (Al- Nashif/Bulgaristan Kararı).</w:t>
      </w:r>
    </w:p>
    <w:p w:rsidR="00C17D6C" w:rsidRDefault="00C17D6C" w:rsidP="00C17D6C">
      <w:pPr>
        <w:pStyle w:val="ListeParagraf"/>
        <w:numPr>
          <w:ilvl w:val="0"/>
          <w:numId w:val="1"/>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before="0" w:beforeAutospacing="0" w:after="0" w:afterAutospacing="0"/>
        <w:ind w:right="-1"/>
        <w:contextualSpacing/>
        <w:jc w:val="both"/>
        <w:rPr>
          <w:rFonts w:ascii="Arial Narrow" w:hAnsi="Arial Narrow" w:cs="Arial"/>
          <w:color w:val="000000"/>
          <w:sz w:val="23"/>
          <w:szCs w:val="23"/>
          <w:lang w:val="tr-TR"/>
        </w:rPr>
      </w:pPr>
      <w:r>
        <w:rPr>
          <w:rFonts w:ascii="Arial Narrow" w:hAnsi="Arial Narrow" w:cs="Arial"/>
          <w:color w:val="000000"/>
          <w:sz w:val="23"/>
          <w:szCs w:val="23"/>
          <w:lang w:val="tr-TR"/>
        </w:rPr>
        <w:t>AİHS anlamında bir kanunun taşıması gereken özelliklerinden biri de, kanunun hukuk devleti/hukukun üstünlüğü ilkesine uygun olmasıdır. Zira hukukun üstünlüğü ilkesi, AİHS’in Giriş bölümünde anıldığı gibi AİHS’in tüm maddelerinin doğasında vardır. Venedik Komisyonu raporlarına göre de, genel olarak formüle edilmiş, ancak gerçekte belirli şahısları hedef alan hukuki düzenlemeler hukukun üstünlüğü ilkesine aykırıdır.</w:t>
      </w:r>
    </w:p>
    <w:p w:rsidR="00C17D6C" w:rsidRDefault="00C17D6C" w:rsidP="00C17D6C">
      <w:pPr>
        <w:pStyle w:val="ListeParagraf"/>
        <w:numPr>
          <w:ilvl w:val="0"/>
          <w:numId w:val="1"/>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before="0" w:beforeAutospacing="0" w:after="0" w:afterAutospacing="0"/>
        <w:ind w:right="-1"/>
        <w:contextualSpacing/>
        <w:jc w:val="both"/>
        <w:rPr>
          <w:rFonts w:ascii="Arial Narrow" w:hAnsi="Arial Narrow" w:cs="Arial"/>
          <w:color w:val="000000"/>
          <w:sz w:val="23"/>
          <w:szCs w:val="23"/>
          <w:lang w:val="tr-TR"/>
        </w:rPr>
      </w:pPr>
      <w:r>
        <w:rPr>
          <w:rFonts w:ascii="Arial Narrow" w:hAnsi="Arial Narrow" w:cs="Arial"/>
          <w:color w:val="000000"/>
          <w:sz w:val="23"/>
          <w:szCs w:val="23"/>
          <w:lang w:val="tr-TR"/>
        </w:rPr>
        <w:t xml:space="preserve">Başvurucunun özel yaşamına haksız müdahale edilmesinin ve mesleğinden ihraç edilmesinin hukuki dayanağını, Bakanlar Kurulu tarafından kabul edilen </w:t>
      </w:r>
      <w:r>
        <w:rPr>
          <w:rFonts w:ascii="Arial Narrow" w:hAnsi="Arial Narrow" w:cs="Arial"/>
          <w:color w:val="000000"/>
          <w:sz w:val="23"/>
          <w:szCs w:val="23"/>
          <w:highlight w:val="yellow"/>
          <w:lang w:val="tr-TR"/>
        </w:rPr>
        <w:t>… sayılı KHK’nın …maddesi</w:t>
      </w:r>
      <w:r>
        <w:rPr>
          <w:rFonts w:ascii="Arial Narrow" w:hAnsi="Arial Narrow" w:cs="Arial"/>
          <w:color w:val="000000"/>
          <w:sz w:val="23"/>
          <w:szCs w:val="23"/>
          <w:lang w:val="tr-TR"/>
        </w:rPr>
        <w:t xml:space="preserve"> oluşturmaktadır. Bu madde kapsamında başvurucu, “Terör örgütlerine veya Milli Güvenlik Kurulunca Devletin milli güvenliğine karşı faaliyette bulunduğuna karar verilen yapı, oluşum veya gruplara üyeliği, mensubiyeti veya iltisakı yahut bunlarla irtibatı olduğu” gerekçesiyle görevinden “başka hiçbir işleme gerek kalmaksızın” ve “bir daha kamu hizmetinde yer verilmemek üzere” çıkarılmıştır.</w:t>
      </w:r>
    </w:p>
    <w:p w:rsidR="00C17D6C" w:rsidRDefault="00C17D6C" w:rsidP="00C17D6C">
      <w:pPr>
        <w:pStyle w:val="ListeParagraf"/>
        <w:numPr>
          <w:ilvl w:val="0"/>
          <w:numId w:val="1"/>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before="0" w:beforeAutospacing="0" w:after="0" w:afterAutospacing="0"/>
        <w:ind w:right="-1"/>
        <w:contextualSpacing/>
        <w:jc w:val="both"/>
        <w:rPr>
          <w:rFonts w:ascii="Arial Narrow" w:hAnsi="Arial Narrow" w:cs="Arial"/>
          <w:color w:val="000000"/>
          <w:sz w:val="23"/>
          <w:szCs w:val="23"/>
          <w:lang w:val="tr-TR"/>
        </w:rPr>
      </w:pPr>
      <w:r>
        <w:rPr>
          <w:rFonts w:ascii="Arial Narrow" w:hAnsi="Arial Narrow" w:cs="Arial"/>
          <w:color w:val="000000"/>
          <w:sz w:val="23"/>
          <w:szCs w:val="23"/>
          <w:lang w:val="tr-TR"/>
        </w:rPr>
        <w:t xml:space="preserve">Başvurucunun 15 Temmuz tarihinden sonraki hiçbir faaliyet ya da sosyal ilişkisinin meslekten çıkarma kararında dikkate alınmış olması mümkün değildir. Bu haliyle ihraç kararının dayanağını oluşturan </w:t>
      </w:r>
      <w:r>
        <w:rPr>
          <w:rFonts w:ascii="Arial Narrow" w:hAnsi="Arial Narrow" w:cs="Arial"/>
          <w:color w:val="000000"/>
          <w:sz w:val="23"/>
          <w:szCs w:val="23"/>
          <w:highlight w:val="yellow"/>
          <w:lang w:val="tr-TR"/>
        </w:rPr>
        <w:t>…sayılı KHK’nın …maddesi,</w:t>
      </w:r>
      <w:r>
        <w:rPr>
          <w:rFonts w:ascii="Arial Narrow" w:hAnsi="Arial Narrow" w:cs="Arial"/>
          <w:color w:val="000000"/>
          <w:sz w:val="23"/>
          <w:szCs w:val="23"/>
          <w:lang w:val="tr-TR"/>
        </w:rPr>
        <w:t xml:space="preserve"> başvurucunun geçmişe dayalı olası eylem ve ilişkilerinden hareketle sonuç doğuran bir düzenleme niteliğindedir. Kanunların geçmişe etkili olmaması, hukuk devletinde kanunların taşıması gereken en önemli özellik olup </w:t>
      </w:r>
      <w:r>
        <w:rPr>
          <w:rFonts w:ascii="Arial Narrow" w:hAnsi="Arial Narrow" w:cs="Arial"/>
          <w:color w:val="000000"/>
          <w:sz w:val="23"/>
          <w:szCs w:val="23"/>
          <w:highlight w:val="yellow"/>
          <w:lang w:val="tr-TR"/>
        </w:rPr>
        <w:t>…sayılı KHK’nın …maddesi</w:t>
      </w:r>
      <w:r>
        <w:rPr>
          <w:rFonts w:ascii="Arial Narrow" w:hAnsi="Arial Narrow" w:cs="Arial"/>
          <w:color w:val="000000"/>
          <w:sz w:val="23"/>
          <w:szCs w:val="23"/>
          <w:lang w:val="tr-TR"/>
        </w:rPr>
        <w:t xml:space="preserve"> bu haliyle hukuk devleti ve hukukun üstünlüğü prensibine aykırı bir düzenlemedir.</w:t>
      </w:r>
    </w:p>
    <w:p w:rsidR="00C17D6C" w:rsidRDefault="00C17D6C" w:rsidP="00C17D6C">
      <w:pPr>
        <w:pStyle w:val="ListeParagraf"/>
        <w:numPr>
          <w:ilvl w:val="0"/>
          <w:numId w:val="1"/>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before="0" w:beforeAutospacing="0" w:after="0" w:afterAutospacing="0"/>
        <w:ind w:right="-1"/>
        <w:contextualSpacing/>
        <w:jc w:val="both"/>
        <w:rPr>
          <w:rFonts w:ascii="Arial Narrow" w:hAnsi="Arial Narrow" w:cs="Arial"/>
          <w:color w:val="000000"/>
          <w:sz w:val="23"/>
          <w:szCs w:val="23"/>
          <w:lang w:val="tr-TR"/>
        </w:rPr>
      </w:pPr>
      <w:r>
        <w:rPr>
          <w:rFonts w:ascii="Arial Narrow" w:hAnsi="Arial Narrow" w:cs="Arial"/>
          <w:color w:val="000000"/>
          <w:sz w:val="23"/>
          <w:szCs w:val="23"/>
          <w:lang w:val="tr-TR"/>
        </w:rPr>
        <w:t xml:space="preserve">Yukarıda ifade edildiği üzere, AİHM içtihatlarına göre AİHS'in 8. maddesinde düzenlenen hakka müdahaleye imkân veren bir düzenlemenin taşıması gereken temel koşullardan birisi “erişilebilirlik”, diğeri ise “öngörülebilirlik”tir. Öngörülebilir olması ile kastedilen, düzenlemenin ilgili kişiye davranışlarını düzenleme ve sonuçlarını öngörebilmesine elverişli kesinlikte formüle edilmiş olmasıdır. Bu nitelikte olan bir düzenlemenin ise </w:t>
      </w:r>
      <w:r>
        <w:rPr>
          <w:rFonts w:ascii="Arial Narrow" w:hAnsi="Arial Narrow" w:cs="Arial"/>
          <w:color w:val="000000"/>
          <w:sz w:val="23"/>
          <w:szCs w:val="23"/>
          <w:lang w:val="tr-TR"/>
        </w:rPr>
        <w:lastRenderedPageBreak/>
        <w:t xml:space="preserve">her şeyden önce erişilebilir olması gerekir. Yani kişinin belirli bir davranışta ya da eylemde bulunduğu veya sosyal ilişki kurduğu sırada bu eylem ya da ilişkilerinin doğuracağı sonuçlarının düzenlendiği/yaptırıma bağlandığı hukuk kurallarının ayrıntıları konusunda yeterince bilgi sahibi olması gerekir. Bakanlar Kurulu tarafından kabul edildiği </w:t>
      </w:r>
      <w:r>
        <w:rPr>
          <w:rFonts w:ascii="Arial Narrow" w:hAnsi="Arial Narrow" w:cs="Arial"/>
          <w:color w:val="000000"/>
          <w:sz w:val="23"/>
          <w:szCs w:val="23"/>
          <w:highlight w:val="yellow"/>
          <w:lang w:val="tr-TR"/>
        </w:rPr>
        <w:t>… tarihinden</w:t>
      </w:r>
      <w:r>
        <w:rPr>
          <w:rFonts w:ascii="Arial Narrow" w:hAnsi="Arial Narrow" w:cs="Arial"/>
          <w:color w:val="000000"/>
          <w:sz w:val="23"/>
          <w:szCs w:val="23"/>
          <w:lang w:val="tr-TR"/>
        </w:rPr>
        <w:t xml:space="preserve"> önceki dönemde ve suç teşkil etmeyen eylem ve ilişkilerden sonuç çıkarmaya matuf geçmişe etkili </w:t>
      </w:r>
      <w:r>
        <w:rPr>
          <w:rFonts w:ascii="Arial Narrow" w:hAnsi="Arial Narrow" w:cs="Arial"/>
          <w:color w:val="000000"/>
          <w:sz w:val="23"/>
          <w:szCs w:val="23"/>
          <w:highlight w:val="yellow"/>
          <w:lang w:val="tr-TR"/>
        </w:rPr>
        <w:t>… sayılı KHK’nın ...</w:t>
      </w:r>
      <w:r>
        <w:rPr>
          <w:rFonts w:ascii="Arial Narrow" w:hAnsi="Arial Narrow" w:cs="Arial"/>
          <w:color w:val="000000"/>
          <w:sz w:val="23"/>
          <w:szCs w:val="23"/>
          <w:lang w:val="tr-TR"/>
        </w:rPr>
        <w:t xml:space="preserve"> maddesi bu haliyle “erişilebilirlik” kriterini taşımamaktadır.</w:t>
      </w:r>
    </w:p>
    <w:p w:rsidR="00C17D6C" w:rsidRDefault="00C17D6C" w:rsidP="00C17D6C">
      <w:pPr>
        <w:pStyle w:val="ListeParagraf"/>
        <w:numPr>
          <w:ilvl w:val="0"/>
          <w:numId w:val="1"/>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before="0" w:beforeAutospacing="0" w:after="0" w:afterAutospacing="0"/>
        <w:ind w:right="-1"/>
        <w:contextualSpacing/>
        <w:jc w:val="both"/>
        <w:rPr>
          <w:rFonts w:ascii="Arial Narrow" w:hAnsi="Arial Narrow" w:cs="Arial"/>
          <w:color w:val="000000"/>
          <w:sz w:val="23"/>
          <w:szCs w:val="23"/>
          <w:lang w:val="tr-TR"/>
        </w:rPr>
      </w:pPr>
      <w:r>
        <w:rPr>
          <w:rFonts w:ascii="Arial Narrow" w:hAnsi="Arial Narrow" w:cs="Arial"/>
          <w:color w:val="000000"/>
          <w:sz w:val="23"/>
          <w:szCs w:val="23"/>
          <w:lang w:val="tr-TR"/>
        </w:rPr>
        <w:t xml:space="preserve">Başvurucunun tüm iç hukuk yollarında açıkça belirttiği üzere, FETÖ/PDY olarak anılan yapıyla mensubiyet ya da iltisak veya irtibat düzeyinde hiçbir bağlantısı bulunmamaktadır. Aynı şekilde 15 Temmuz darbe girişimi ile de en küçük bir ilgisi bulunmamaktadır. </w:t>
      </w:r>
    </w:p>
    <w:p w:rsidR="00C17D6C" w:rsidRDefault="00C17D6C" w:rsidP="00C17D6C">
      <w:pPr>
        <w:pStyle w:val="ListeParagraf"/>
        <w:numPr>
          <w:ilvl w:val="0"/>
          <w:numId w:val="1"/>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before="0" w:beforeAutospacing="0" w:after="0" w:afterAutospacing="0"/>
        <w:ind w:right="-1"/>
        <w:contextualSpacing/>
        <w:jc w:val="both"/>
        <w:rPr>
          <w:rFonts w:ascii="Arial Narrow" w:hAnsi="Arial Narrow" w:cs="Arial"/>
          <w:color w:val="000000"/>
          <w:sz w:val="23"/>
          <w:szCs w:val="23"/>
          <w:lang w:val="tr-TR"/>
        </w:rPr>
      </w:pPr>
      <w:r>
        <w:rPr>
          <w:rFonts w:ascii="Arial Narrow" w:hAnsi="Arial Narrow" w:cs="Arial"/>
          <w:color w:val="000000"/>
          <w:sz w:val="23"/>
          <w:szCs w:val="23"/>
          <w:lang w:val="tr-TR"/>
        </w:rPr>
        <w:t xml:space="preserve">Bununla beraber, meslekten çıkarılmasına dayanak yapılan </w:t>
      </w:r>
      <w:r>
        <w:rPr>
          <w:rFonts w:ascii="Arial Narrow" w:hAnsi="Arial Narrow" w:cs="Arial"/>
          <w:color w:val="000000"/>
          <w:sz w:val="23"/>
          <w:szCs w:val="23"/>
          <w:highlight w:val="yellow"/>
          <w:lang w:val="tr-TR"/>
        </w:rPr>
        <w:t>…sayılı KHK’nın …maddesinin</w:t>
      </w:r>
      <w:r>
        <w:rPr>
          <w:rFonts w:ascii="Arial Narrow" w:hAnsi="Arial Narrow" w:cs="Arial"/>
          <w:color w:val="000000"/>
          <w:sz w:val="23"/>
          <w:szCs w:val="23"/>
          <w:lang w:val="tr-TR"/>
        </w:rPr>
        <w:t>, AİHS'in 8. maddesi anlamında erişilebilir bir yasal düzenleme olup olmadığı değerlendirilirken, Türkiye’de herhangi bir dini ya da siyasi grup veya oluşum ile irtibatlı ya da iltisaklı olmanın hiçbir zaman yaptırım gerektiren bir eylem olarak düzenlenmediği dikkate alınmalıdır. Yine böyle bir durumun meslekten çıkarılmayı gerektirdiğine dair ne bir yargı kararı, ne de bir idari pratik bulunmaktadır. MGK kararları da gizlidir ve Bakanlar Kurulu’na yönelik tavsiye niteliğindedir. Ayrıca, Bakanlar Kurulu tarafından erişilebilir düzenleyici herhangi bir işleme dönüştürülüp yaptırım gerektiren bir durum olarak düzenlenmemiştir.</w:t>
      </w:r>
    </w:p>
    <w:p w:rsidR="00C17D6C" w:rsidRDefault="00C17D6C" w:rsidP="00C17D6C">
      <w:pPr>
        <w:pStyle w:val="ListeParagraf"/>
        <w:numPr>
          <w:ilvl w:val="0"/>
          <w:numId w:val="1"/>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before="0" w:beforeAutospacing="0" w:after="0" w:afterAutospacing="0"/>
        <w:ind w:right="-1"/>
        <w:contextualSpacing/>
        <w:jc w:val="both"/>
        <w:rPr>
          <w:rFonts w:ascii="Arial Narrow" w:hAnsi="Arial Narrow" w:cs="Arial"/>
          <w:color w:val="000000"/>
          <w:sz w:val="23"/>
          <w:szCs w:val="23"/>
          <w:lang w:val="tr-TR"/>
        </w:rPr>
      </w:pPr>
      <w:r>
        <w:rPr>
          <w:rFonts w:ascii="Arial Narrow" w:hAnsi="Arial Narrow" w:cs="Arial"/>
          <w:color w:val="000000"/>
          <w:sz w:val="23"/>
          <w:szCs w:val="23"/>
          <w:lang w:val="tr-TR"/>
        </w:rPr>
        <w:t xml:space="preserve">“Erişilebilir” bir düzenleme yokluğunda, söz konusu düzenlemenin “öngörülebilir” olup olmadığı değerlendirmesine gerek yoktur. Ancak, bir an için </w:t>
      </w:r>
      <w:r>
        <w:rPr>
          <w:rFonts w:ascii="Arial Narrow" w:hAnsi="Arial Narrow" w:cs="Arial"/>
          <w:color w:val="000000"/>
          <w:sz w:val="23"/>
          <w:szCs w:val="23"/>
          <w:highlight w:val="yellow"/>
          <w:lang w:val="tr-TR"/>
        </w:rPr>
        <w:t>…sayılı KHK’nın ...maddesinin</w:t>
      </w:r>
      <w:r>
        <w:rPr>
          <w:rFonts w:ascii="Arial Narrow" w:hAnsi="Arial Narrow" w:cs="Arial"/>
          <w:color w:val="000000"/>
          <w:sz w:val="23"/>
          <w:szCs w:val="23"/>
          <w:lang w:val="tr-TR"/>
        </w:rPr>
        <w:t xml:space="preserve"> erişilebilir olduğu kabul edilse bile, bu düzenleme AİHM içtihatları uyarınca öngörülebilir nitelikte olmadığı gibi hukukun üstünlüğü ilkesine de aykırıdır. Zira öncelikle, söz konusu madde kişilere, davranışları düzenlemelerine ve sonuçlarını öngörebilmelerine elverişli kesinlikte formüle edilmiş değildir. İstihbari birer kavram olan “iltisak ve irtibat” kavramlarının anlamları belirsiz olup bu kavramların kapsamını belirten yargı kararı dahi bulunmamaktadır. Kişilerin ne tür davranış ya da sosyal ilişkilerinin ve hangi döneme, ne ölçüde uzak geçmişine dair veya hangi ilişki seviyesinden sonraki davranış ya da ilişkilerinin ve hangi objektif ölçütlere göre bu kavramların kapsamında değerlendirileceği KHK’da veya başka bir mevzuat ya da yargı içtihatlarında belirlenmemiştir. Venedik Komisyonu raporlarında da belirtildiği gibi özellikle yargı bağımsızlığının korunması ve hukuki güvenlik açısından disiplin sorumluluğu gerektiren hallerin kesin ve öngörülebilir olması gerekir.</w:t>
      </w:r>
    </w:p>
    <w:p w:rsidR="00C17D6C" w:rsidRDefault="00C17D6C" w:rsidP="00C17D6C">
      <w:pPr>
        <w:pStyle w:val="ListeParagraf"/>
        <w:numPr>
          <w:ilvl w:val="0"/>
          <w:numId w:val="1"/>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before="0" w:beforeAutospacing="0" w:after="0" w:afterAutospacing="0"/>
        <w:ind w:right="-1"/>
        <w:contextualSpacing/>
        <w:jc w:val="both"/>
        <w:rPr>
          <w:rFonts w:ascii="Arial Narrow" w:hAnsi="Arial Narrow" w:cs="Arial"/>
          <w:color w:val="000000"/>
          <w:sz w:val="23"/>
          <w:szCs w:val="23"/>
          <w:lang w:val="tr-TR"/>
        </w:rPr>
      </w:pPr>
      <w:r>
        <w:rPr>
          <w:rFonts w:ascii="Arial Narrow" w:hAnsi="Arial Narrow" w:cs="Arial"/>
          <w:color w:val="000000"/>
          <w:sz w:val="23"/>
          <w:szCs w:val="23"/>
          <w:lang w:val="tr-TR"/>
        </w:rPr>
        <w:t xml:space="preserve">Söz konusu madde ile idareye kamu görevlilerini meslekten çıkarma yetkisi verilmiştir. Ancak bu maddede idareye verilen takdir yetkisinin kapsamı ve kullanım tarzı gösterilmemiş, bu haliyle dizginsiz, şeffaf olmayan ve kontrolsüz bir yetki tanınmıştır. Kararnamenin </w:t>
      </w:r>
      <w:r>
        <w:rPr>
          <w:rFonts w:ascii="Arial Narrow" w:hAnsi="Arial Narrow" w:cs="Arial"/>
          <w:color w:val="000000"/>
          <w:sz w:val="23"/>
          <w:szCs w:val="23"/>
          <w:highlight w:val="yellow"/>
          <w:lang w:val="tr-TR"/>
        </w:rPr>
        <w:t>…maddesi</w:t>
      </w:r>
      <w:r>
        <w:rPr>
          <w:rFonts w:ascii="Arial Narrow" w:hAnsi="Arial Narrow" w:cs="Arial"/>
          <w:color w:val="000000"/>
          <w:sz w:val="23"/>
          <w:szCs w:val="23"/>
          <w:lang w:val="tr-TR"/>
        </w:rPr>
        <w:t xml:space="preserve"> ile kamu görevlilerinin örgüt ile üyelik ya da irtibatlarına ilişkin “değerlendirme” düzeyindeki ölçütlerle meslekten çıkarılmalarına izin verilmiştir. Ancak bu değerlendirmelerin dayanması gereken delillere ilişkin ölçüt ve koşullar belirlenmemiştir. Bu şekilde, idareye olağanüstü ve bir hukuk devletinde kabulü mümkün olmayan genişlikte bir takdir yetkisi verilmiştir. Söz konusu 667 sayılı KHK’nın 9. maddesinde, KHK kapsamında karar alan ve görevleri yerine getiren kişilerin bu görevleri sebebiyle hukuki, idari, mali ve cezai sorumluluklarının da doğmayacağı düzenlenmiştir. Bu madde, kendisine takdir hakkı verilenleri sınırsız bir şekilde denetimsiz bırakarak, keyfilik potansiyelini en üst düzeye çıkarmaktadır. Nitekim Venedik Komisyonu da, bu sorumsuzluğun KHK’ların suç teşkil edebilecek bazı eylemlere doğrudan izin ve emir verdiğini veya en azından görevlerini yerine getirirken suç işleyenlerin cezalandırılmayacağını ima ettiğini belirterek bu düzenlemenin kaldırılmasını talep etmiştir.</w:t>
      </w:r>
    </w:p>
    <w:p w:rsidR="00C17D6C" w:rsidRDefault="00C17D6C" w:rsidP="00C17D6C">
      <w:pPr>
        <w:pStyle w:val="ListeParagraf"/>
        <w:numPr>
          <w:ilvl w:val="0"/>
          <w:numId w:val="1"/>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before="0" w:beforeAutospacing="0" w:after="0" w:afterAutospacing="0"/>
        <w:ind w:right="-1"/>
        <w:contextualSpacing/>
        <w:jc w:val="both"/>
        <w:rPr>
          <w:rFonts w:ascii="Arial Narrow" w:hAnsi="Arial Narrow" w:cs="Arial"/>
          <w:color w:val="000000"/>
          <w:sz w:val="23"/>
          <w:szCs w:val="23"/>
          <w:lang w:val="tr-TR"/>
        </w:rPr>
      </w:pPr>
      <w:r>
        <w:rPr>
          <w:rFonts w:ascii="Arial Narrow" w:hAnsi="Arial Narrow" w:cs="Arial"/>
          <w:sz w:val="23"/>
          <w:szCs w:val="23"/>
          <w:lang w:val="tr-TR" w:eastAsia="tr-TR"/>
        </w:rPr>
        <w:t>Başvurucu, AİHS’nin 6. maddesinin yanı sıra, devlet memuru hakkında savunması alınmadan disiplin cezası verilemeyeceğine ilişkin Anayasa’nın 129/2 ve 657 sayılı Devlet Memurları Kanunu’nun 130. maddesinin güvencesi altında bulunmaktaydı</w:t>
      </w:r>
      <w:r>
        <w:rPr>
          <w:rFonts w:ascii="Arial Narrow" w:hAnsi="Arial Narrow" w:cs="Arial"/>
          <w:color w:val="000000"/>
          <w:sz w:val="23"/>
          <w:szCs w:val="23"/>
          <w:lang w:val="tr-TR"/>
        </w:rPr>
        <w:t>.</w:t>
      </w:r>
      <w:r>
        <w:rPr>
          <w:rFonts w:ascii="Arial Narrow" w:hAnsi="Arial Narrow" w:cs="Arial"/>
          <w:sz w:val="23"/>
          <w:szCs w:val="23"/>
          <w:lang w:val="tr-TR" w:eastAsia="tr-TR"/>
        </w:rPr>
        <w:t xml:space="preserve"> Buna karşın, </w:t>
      </w:r>
      <w:r>
        <w:rPr>
          <w:rFonts w:ascii="Arial Narrow" w:hAnsi="Arial Narrow" w:cs="Arial"/>
          <w:color w:val="000000"/>
          <w:sz w:val="23"/>
          <w:szCs w:val="23"/>
          <w:lang w:val="tr-TR"/>
        </w:rPr>
        <w:t xml:space="preserve">meslekten çıkarılmasının dayanağını oluşturan </w:t>
      </w:r>
      <w:r>
        <w:rPr>
          <w:rFonts w:ascii="Arial Narrow" w:hAnsi="Arial Narrow" w:cs="Arial"/>
          <w:color w:val="000000"/>
          <w:sz w:val="23"/>
          <w:szCs w:val="23"/>
          <w:highlight w:val="yellow"/>
          <w:lang w:val="tr-TR"/>
        </w:rPr>
        <w:t>…sayılı KHK’da, … madde</w:t>
      </w:r>
      <w:r>
        <w:rPr>
          <w:rFonts w:ascii="Arial Narrow" w:hAnsi="Arial Narrow" w:cs="Arial"/>
          <w:color w:val="000000"/>
          <w:sz w:val="23"/>
          <w:szCs w:val="23"/>
          <w:lang w:val="tr-TR"/>
        </w:rPr>
        <w:t xml:space="preserve"> uyarınca meslekten çıkarma tedbirinin uygulanması bakımından idare yetkilendirilirken, karar alma sürecinde izlenecek usulle ilgili herhangi bir düzenlemeye yer verilmemiştir. Bu kapsamda, idare tarafından savunma hakkı ve diğer usulü güvenceler tanımadan başvurucu hakkında meslekten çıkarılma yaptırımı uygulanmıştır. </w:t>
      </w:r>
    </w:p>
    <w:p w:rsidR="00C17D6C" w:rsidRDefault="00C17D6C" w:rsidP="00C17D6C">
      <w:pPr>
        <w:pStyle w:val="ListeParagraf"/>
        <w:numPr>
          <w:ilvl w:val="0"/>
          <w:numId w:val="1"/>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before="0" w:beforeAutospacing="0" w:after="0" w:afterAutospacing="0"/>
        <w:ind w:right="-1"/>
        <w:contextualSpacing/>
        <w:jc w:val="both"/>
        <w:rPr>
          <w:rFonts w:ascii="Arial Narrow" w:hAnsi="Arial Narrow" w:cs="Arial"/>
          <w:color w:val="000000"/>
          <w:sz w:val="23"/>
          <w:szCs w:val="23"/>
          <w:lang w:val="tr-TR"/>
        </w:rPr>
      </w:pPr>
      <w:r>
        <w:rPr>
          <w:rFonts w:ascii="Arial Narrow" w:hAnsi="Arial Narrow" w:cs="Arial"/>
          <w:color w:val="000000"/>
          <w:sz w:val="23"/>
          <w:szCs w:val="23"/>
          <w:lang w:val="tr-TR"/>
        </w:rPr>
        <w:t>Meslekten çıkarma kararına dayanak bilgi ve belgeler, ne meslekten çıkarma kararı öncesinde ne de sonrasında başvurucuya bildirilip savunma imkânı verilmemiştir. Bu haliyle, meslekten çıkarılma sürecinde AİHS'in 6. maddesinde tanınan usuli güvencelerin hiçbirine riayet edilmemiştir. İzlenen yöntem, evrensel hukuk ilkeleri ve Anayasanın 129. maddesine aykırıdır.</w:t>
      </w:r>
    </w:p>
    <w:p w:rsidR="00C17D6C" w:rsidRDefault="00C17D6C" w:rsidP="00C17D6C">
      <w:pPr>
        <w:pStyle w:val="ListeParagraf"/>
        <w:numPr>
          <w:ilvl w:val="0"/>
          <w:numId w:val="1"/>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before="0" w:beforeAutospacing="0" w:after="0" w:afterAutospacing="0"/>
        <w:ind w:right="-1"/>
        <w:contextualSpacing/>
        <w:jc w:val="both"/>
        <w:rPr>
          <w:rFonts w:ascii="Arial Narrow" w:hAnsi="Arial Narrow" w:cs="Arial"/>
          <w:color w:val="000000"/>
          <w:sz w:val="23"/>
          <w:szCs w:val="23"/>
          <w:lang w:val="tr-TR"/>
        </w:rPr>
      </w:pPr>
      <w:r>
        <w:rPr>
          <w:rFonts w:ascii="Arial Narrow" w:hAnsi="Arial Narrow" w:cs="Arial"/>
          <w:color w:val="000000"/>
          <w:sz w:val="23"/>
          <w:szCs w:val="23"/>
          <w:lang w:val="tr-TR"/>
        </w:rPr>
        <w:t xml:space="preserve">Belirtilen bu nedenlerle, başvurucunun kişisel itibarı da dahil özel yaşamıma en ağır şekilde müdahale teşkil eden, dolayısıyla tüm parasal ve özlük haklarından mahrumiyetine ve ağır manevi zarara uğramasına neden olan ve meslekten çıkarılmaya dair kararının dayanağını oluşturan </w:t>
      </w:r>
      <w:r>
        <w:rPr>
          <w:rFonts w:ascii="Arial Narrow" w:hAnsi="Arial Narrow" w:cs="Arial"/>
          <w:color w:val="000000"/>
          <w:sz w:val="23"/>
          <w:szCs w:val="23"/>
          <w:highlight w:val="yellow"/>
          <w:lang w:val="tr-TR"/>
        </w:rPr>
        <w:t>… sayılı KHK’nın ...</w:t>
      </w:r>
      <w:r>
        <w:rPr>
          <w:rFonts w:ascii="Arial Narrow" w:hAnsi="Arial Narrow" w:cs="Arial"/>
          <w:color w:val="000000"/>
          <w:sz w:val="23"/>
          <w:szCs w:val="23"/>
          <w:lang w:val="tr-TR"/>
        </w:rPr>
        <w:t xml:space="preserve">maddesi, AİHS’in 8/2. maddesinde özel hayata müdahaleye imkân veren bir yasanın taşıması gereken erişilebilirlik, öngörülebilirlik ve hukukun üstünlüğüne uyumlu olma kriterlerini taşımamaktadır. Bu nedenle, Anayasanın 90/son maddesi </w:t>
      </w:r>
      <w:r>
        <w:rPr>
          <w:rFonts w:ascii="Arial Narrow" w:hAnsi="Arial Narrow" w:cs="Arial"/>
          <w:color w:val="000000"/>
          <w:sz w:val="23"/>
          <w:szCs w:val="23"/>
          <w:lang w:val="tr-TR"/>
        </w:rPr>
        <w:lastRenderedPageBreak/>
        <w:t>çerçevesinde müdahaleye, dolayısıyla meslekten çıkarmaya dayanak bir kanunî düzenleme olarak kabul edilemez.</w:t>
      </w:r>
    </w:p>
    <w:p w:rsidR="00C17D6C" w:rsidRDefault="00C17D6C" w:rsidP="00C17D6C">
      <w:pPr>
        <w:pStyle w:val="ListeParagraf"/>
        <w:numPr>
          <w:ilvl w:val="0"/>
          <w:numId w:val="1"/>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before="0" w:beforeAutospacing="0" w:after="0" w:afterAutospacing="0"/>
        <w:ind w:right="-1"/>
        <w:contextualSpacing/>
        <w:jc w:val="both"/>
        <w:rPr>
          <w:rFonts w:ascii="Arial Narrow" w:hAnsi="Arial Narrow" w:cs="Arial"/>
          <w:color w:val="000000"/>
          <w:sz w:val="23"/>
          <w:szCs w:val="23"/>
          <w:lang w:val="tr-TR"/>
        </w:rPr>
      </w:pPr>
      <w:r>
        <w:rPr>
          <w:rFonts w:ascii="Arial Narrow" w:hAnsi="Arial Narrow" w:cs="Arial"/>
          <w:color w:val="000000"/>
          <w:sz w:val="23"/>
          <w:szCs w:val="23"/>
          <w:lang w:val="tr-TR"/>
        </w:rPr>
        <w:t>Başvurucunun mesleki ya da özel yaşamına ait kişisel veri niteliğindeki bilgilerin yanlış ya da iftiralara dayalı olması kuvvetle muhtemeldir. Bu bilgilerin, başvurucu hakkında herhangi bir disiplin soruşturması olmaksızın toplanmasına, depolanmasına ve kullanılmasına ilişkin idareye kanunla verilen bir yetki ve görev bulunmamaktadır. Bu nedenle, idare tarafından özel yaşama müdahale teşkil eden bu işlemler, kanunla öngörülme kuralına aykırılık teşkil etmektedir. İdareye, kamu görevlileriyle ilgili verilen karar alma yetkisi; doğruluğu teyit edilmeyen her türlü bilgiyi toplama ve gizli dosyalarda arşivleme ve keyfilik riski içerecek şekilde aksini kanıtlama imkânı sunmaksızın kullanma şeklinde yorumlanamaz. Bu konularda verilecek yetkilerin kullanımına ilişkin takdir yetkisinin kapsamı ve kullanım tarzı yeterince açık biçimde gösterilmelidir (Rotoru/Romanya; Molone/Birleşik Krallık Kararı).</w:t>
      </w:r>
    </w:p>
    <w:p w:rsidR="00C17D6C" w:rsidRDefault="00C17D6C" w:rsidP="00C17D6C">
      <w:pPr>
        <w:pStyle w:val="ListeParagraf"/>
        <w:numPr>
          <w:ilvl w:val="0"/>
          <w:numId w:val="1"/>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before="0" w:beforeAutospacing="0" w:after="0" w:afterAutospacing="0"/>
        <w:ind w:right="-1"/>
        <w:contextualSpacing/>
        <w:jc w:val="both"/>
        <w:rPr>
          <w:rFonts w:ascii="Arial Narrow" w:hAnsi="Arial Narrow" w:cs="Arial"/>
          <w:color w:val="000000"/>
          <w:sz w:val="23"/>
          <w:szCs w:val="23"/>
          <w:lang w:val="tr-TR"/>
        </w:rPr>
      </w:pPr>
      <w:r>
        <w:rPr>
          <w:rFonts w:ascii="Arial Narrow" w:hAnsi="Arial Narrow" w:cs="Arial"/>
          <w:color w:val="000000"/>
          <w:sz w:val="23"/>
          <w:szCs w:val="23"/>
          <w:lang w:val="tr-TR"/>
        </w:rPr>
        <w:t xml:space="preserve">İhraç kararına dayanak yapılan ve doğruluğu teyit edilmeyen bilgileri idarenin sistematik olarak derleyip ihraç kararına şeffaf olmayan biçimde “kurum kanaati” adı altında dayanak yapması, başvurucunun özel yaşamına ağır bir müdahale oluşturmaktadır ve bu müdahalenin kanuni dayanağı bulunmamaktadır. Bu bağlamda belirtmek gerekir ki, ilgili mevzuatta açık ve gizli sicil dosyalarında hangi bilgilerin tutulacağı sayılmıştır. Bunlar dışındaki bilgi ve belgelerin idare tarafından derlenmesi yasal olarak mümkün değildir. </w:t>
      </w:r>
    </w:p>
    <w:p w:rsidR="00C17D6C" w:rsidRDefault="00C17D6C" w:rsidP="00C17D6C">
      <w:pPr>
        <w:pStyle w:val="ListeParagraf"/>
        <w:numPr>
          <w:ilvl w:val="0"/>
          <w:numId w:val="1"/>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before="0" w:beforeAutospacing="0" w:after="0" w:afterAutospacing="0"/>
        <w:ind w:right="-1"/>
        <w:contextualSpacing/>
        <w:jc w:val="both"/>
        <w:rPr>
          <w:rFonts w:ascii="Arial Narrow" w:hAnsi="Arial Narrow" w:cs="Arial"/>
          <w:color w:val="000000"/>
          <w:sz w:val="23"/>
          <w:szCs w:val="23"/>
          <w:lang w:val="tr-TR"/>
        </w:rPr>
      </w:pPr>
      <w:r>
        <w:rPr>
          <w:rFonts w:ascii="Arial Narrow" w:hAnsi="Arial Narrow" w:cs="Arial"/>
          <w:color w:val="000000"/>
          <w:sz w:val="23"/>
          <w:szCs w:val="23"/>
          <w:lang w:val="tr-TR"/>
        </w:rPr>
        <w:t>Başvurucunun özel yaşamıma maddi-manevi tazminat ödenmesini gerektirir şekilde gerçekleştirilen bu müdahalenin de, yukarıda izah edildiği üzere AİHS'in 8. maddesi anlamında kanuni dayanağı bulunmamaktadır. Daire tarafından, müdahalenin kanuniliği bakımından yapılan yüzeysel inceleme Danıştay dava yolunu AİHM içtihatları gereğince etkin bir yol olmaktan çıkarmaktadır.</w:t>
      </w:r>
    </w:p>
    <w:p w:rsidR="00C17D6C" w:rsidRDefault="00C17D6C" w:rsidP="00C17D6C">
      <w:pPr>
        <w:pStyle w:val="ListeParagraf"/>
        <w:numPr>
          <w:ilvl w:val="0"/>
          <w:numId w:val="1"/>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before="0" w:beforeAutospacing="0" w:after="0" w:afterAutospacing="0"/>
        <w:ind w:right="-1"/>
        <w:contextualSpacing/>
        <w:jc w:val="both"/>
        <w:rPr>
          <w:rFonts w:ascii="Arial Narrow" w:hAnsi="Arial Narrow" w:cs="Arial"/>
          <w:color w:val="000000"/>
          <w:sz w:val="23"/>
          <w:szCs w:val="23"/>
          <w:lang w:val="tr-TR"/>
        </w:rPr>
      </w:pPr>
      <w:r>
        <w:rPr>
          <w:rFonts w:ascii="Arial Narrow" w:hAnsi="Arial Narrow" w:cs="Arial"/>
          <w:color w:val="000000"/>
          <w:sz w:val="23"/>
          <w:szCs w:val="23"/>
          <w:lang w:val="tr-TR"/>
        </w:rPr>
        <w:t xml:space="preserve">Aynı şekilde, dava konusu işlemin dayanağı kabul edilen </w:t>
      </w:r>
      <w:r>
        <w:rPr>
          <w:rFonts w:ascii="Arial Narrow" w:hAnsi="Arial Narrow" w:cs="Arial"/>
          <w:color w:val="000000"/>
          <w:sz w:val="23"/>
          <w:szCs w:val="23"/>
          <w:highlight w:val="yellow"/>
          <w:lang w:val="tr-TR"/>
        </w:rPr>
        <w:t>…sayılı KHK,</w:t>
      </w:r>
      <w:r>
        <w:rPr>
          <w:rFonts w:ascii="Arial Narrow" w:hAnsi="Arial Narrow" w:cs="Arial"/>
          <w:color w:val="000000"/>
          <w:sz w:val="23"/>
          <w:szCs w:val="23"/>
          <w:lang w:val="tr-TR"/>
        </w:rPr>
        <w:t xml:space="preserve"> aşağıda ayrıntılı şekilde ifade edildiği üzere, şekil ve esas bakımından Anayasaya uygun çıkarılan bir OHAL KHK'sı değildir.</w:t>
      </w:r>
    </w:p>
    <w:p w:rsidR="00C17D6C" w:rsidRDefault="00C17D6C" w:rsidP="00C17D6C">
      <w:pPr>
        <w:pStyle w:val="ListeParagraf"/>
        <w:numPr>
          <w:ilvl w:val="0"/>
          <w:numId w:val="1"/>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before="0" w:beforeAutospacing="0" w:after="0" w:afterAutospacing="0"/>
        <w:ind w:right="-1"/>
        <w:contextualSpacing/>
        <w:jc w:val="both"/>
        <w:rPr>
          <w:rFonts w:ascii="Arial Narrow" w:hAnsi="Arial Narrow" w:cs="Arial"/>
          <w:color w:val="000000"/>
          <w:sz w:val="23"/>
          <w:szCs w:val="23"/>
          <w:lang w:val="tr-TR"/>
        </w:rPr>
      </w:pPr>
      <w:r>
        <w:rPr>
          <w:rFonts w:ascii="Arial Narrow" w:hAnsi="Arial Narrow" w:cs="Arial"/>
          <w:color w:val="000000"/>
          <w:sz w:val="23"/>
          <w:szCs w:val="23"/>
          <w:lang w:val="tr-TR"/>
        </w:rPr>
        <w:t>Olağanüstü hâl süresince Bakanlar Kurulu, Cumhurbaşkanı başkanlığında yirmi (20) kez toplanmış; bu toplantılarda otuz bir (31) OHAL KHK’sı kabul etmiştir. Dolayısıyla, bazı toplantılarda birden fazla OHAL KHK’sı kabul edilmiştir. Daha önemlisi, toplantı tarihleriyle o toplantıda kabul edildiği görüntüsü verilen OHAL KHK’larının tarihleri örtüşmemektedir. Toplantı önceki bir tarihe, o toplantıda kabul edildiği görüntüsü verilen OHAL KHK’sı ise sonraki bir tarihe denk düşmektedir. Bu ise OHAL KHK’larının Cumhurbaşkanı başkanlığındaki Bakanlar Kurulunda hazırlanmadığını, bu KHK’ların ekli listelerinin, sonraki tarihlerde ilgili bakanlar, bakanlıklar veya bunların bürokratlarınca metne ilave edildiğini göstermektedir. Bu, OHAL KHK’larının ağır yetki tecavüzü yoluyla hazırlandığının açık kanıtıdır.</w:t>
      </w:r>
      <w:r>
        <w:rPr>
          <w:rStyle w:val="DipnotBavurusu"/>
          <w:rFonts w:ascii="Arial Narrow" w:hAnsi="Arial Narrow" w:cs="Arial"/>
          <w:sz w:val="23"/>
          <w:szCs w:val="23"/>
          <w:lang w:val="tr-TR"/>
        </w:rPr>
        <w:footnoteReference w:id="5"/>
      </w:r>
    </w:p>
    <w:p w:rsidR="00C17D6C" w:rsidRDefault="00C17D6C" w:rsidP="00C17D6C">
      <w:pPr>
        <w:pStyle w:val="ListeParagraf"/>
        <w:numPr>
          <w:ilvl w:val="0"/>
          <w:numId w:val="1"/>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before="0" w:beforeAutospacing="0" w:after="0" w:afterAutospacing="0"/>
        <w:ind w:right="-1"/>
        <w:contextualSpacing/>
        <w:jc w:val="both"/>
        <w:rPr>
          <w:rFonts w:ascii="Arial Narrow" w:hAnsi="Arial Narrow" w:cs="Arial"/>
          <w:color w:val="000000"/>
          <w:sz w:val="23"/>
          <w:szCs w:val="23"/>
          <w:lang w:val="tr-TR"/>
        </w:rPr>
      </w:pPr>
      <w:r>
        <w:rPr>
          <w:rFonts w:ascii="Arial Narrow" w:hAnsi="Arial Narrow" w:cs="Arial"/>
          <w:color w:val="000000"/>
          <w:sz w:val="23"/>
          <w:szCs w:val="23"/>
          <w:lang w:val="tr-TR"/>
        </w:rPr>
        <w:t>Anayasa Mahkemesi’ne göre, “</w:t>
      </w:r>
      <w:r>
        <w:rPr>
          <w:rFonts w:ascii="Arial Narrow" w:hAnsi="Arial Narrow" w:cs="Arial"/>
          <w:i/>
          <w:iCs/>
          <w:color w:val="000000"/>
          <w:sz w:val="23"/>
          <w:szCs w:val="23"/>
          <w:lang w:val="tr-TR"/>
        </w:rPr>
        <w:t>Hukuk devletinin temel ilkelerinden biri de belirliliktir. Bu ilkeye göre, yasal düzenlemelerin hem kişiler hem de idare yönünden herhangi bir duraksamaya ve kuşkuya yer vermeyecek şekilde açık, net, anlaşılır, uygulanabilir ve nesnel olması, ayrıca kamu otoritelerinin keyfi uygulamalarına karşı koruyucu önlemler içermesi gerekir. Belirlilik ilkesi, hukuksal güvenlikle bağlantılı olup birey, yasadan, belirli bir kesinlik içinde, hangi somut eylem ve olguya hangi hukuksal yaptırımın veya sonucun bağlandığını bilmelidir. Birey ancak bu durumda kendisine düşen yükümlülükleri öngörebilir ve davranışlarını ayarlar. Hukuk güvenliği, normların öngörülebilir olmasını, bireylerin tüm eylem ve işlemlerinde devlete güven duyabilmesini, devletin de yasal düzenlemelerde bu güven duygusunu zedeleyici yöntemlerden kaçınmasını gerekli kılar</w:t>
      </w:r>
      <w:r>
        <w:rPr>
          <w:rFonts w:ascii="Arial Narrow" w:hAnsi="Arial Narrow" w:cs="Arial"/>
          <w:color w:val="000000"/>
          <w:sz w:val="23"/>
          <w:szCs w:val="23"/>
          <w:lang w:val="tr-TR"/>
        </w:rPr>
        <w:t>”.</w:t>
      </w:r>
      <w:r>
        <w:rPr>
          <w:rStyle w:val="DipnotBavurusu"/>
          <w:rFonts w:ascii="Arial Narrow" w:hAnsi="Arial Narrow" w:cs="Arial"/>
          <w:sz w:val="23"/>
          <w:szCs w:val="23"/>
          <w:lang w:val="tr-TR"/>
        </w:rPr>
        <w:footnoteReference w:id="6"/>
      </w:r>
    </w:p>
    <w:p w:rsidR="00C17D6C" w:rsidRDefault="00C17D6C" w:rsidP="00C17D6C">
      <w:pPr>
        <w:pStyle w:val="ListeParagraf"/>
        <w:numPr>
          <w:ilvl w:val="0"/>
          <w:numId w:val="1"/>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before="0" w:beforeAutospacing="0" w:after="0" w:afterAutospacing="0"/>
        <w:ind w:right="-1"/>
        <w:contextualSpacing/>
        <w:jc w:val="both"/>
        <w:rPr>
          <w:rFonts w:ascii="Arial Narrow" w:hAnsi="Arial Narrow" w:cs="Arial"/>
          <w:color w:val="000000"/>
          <w:sz w:val="23"/>
          <w:szCs w:val="23"/>
          <w:lang w:val="tr-TR"/>
        </w:rPr>
      </w:pPr>
      <w:r>
        <w:rPr>
          <w:rFonts w:ascii="Arial Narrow" w:hAnsi="Arial Narrow" w:cs="Arial"/>
          <w:color w:val="000000"/>
          <w:sz w:val="23"/>
          <w:szCs w:val="23"/>
          <w:lang w:val="tr-TR"/>
        </w:rPr>
        <w:t xml:space="preserve">Bu nedenle, başvurucunun OHAL KHK’sı ile bir daha kamu görevinde istihdam edilemeyecek şekilde ihracı, Anayasanın mülga 121. maddesinin 2. fıkrasına aykırıdır. Zira bu fıkra hükmü, olağanüstü hallerde temel hak ve özgürlüklerin ancak Olağanüstü Hal Kanunu’yla sınırlanabileceğini, bu sınırlamanın da Anayasanın 15. maddesine uygun olması gerektiğini öngörmektedir. Anayasanın mülga 121. maddesinin son fıkrası şöyledir: </w:t>
      </w:r>
      <w:r>
        <w:rPr>
          <w:rFonts w:ascii="Arial Narrow" w:hAnsi="Arial Narrow" w:cs="Arial"/>
          <w:i/>
          <w:color w:val="000000"/>
          <w:sz w:val="23"/>
          <w:szCs w:val="23"/>
          <w:lang w:val="tr-TR"/>
        </w:rPr>
        <w:t>“Olağanüstü hâl suresince, Cumhurbaşkanının başkanlığında toplanan Bakanlar Kurulu, olağanüstü halin gerekli kıldığı konularda, kanun hükmünde kararnameler</w:t>
      </w:r>
      <w:r>
        <w:rPr>
          <w:rFonts w:ascii="Arial Narrow" w:hAnsi="Arial" w:cs="Arial"/>
          <w:i/>
          <w:color w:val="000000"/>
          <w:sz w:val="23"/>
          <w:szCs w:val="23"/>
          <w:lang w:val="tr-TR"/>
        </w:rPr>
        <w:t> </w:t>
      </w:r>
      <w:r>
        <w:rPr>
          <w:rFonts w:ascii="Arial Narrow" w:hAnsi="Arial Narrow" w:cs="Arial"/>
          <w:i/>
          <w:color w:val="000000"/>
          <w:sz w:val="23"/>
          <w:szCs w:val="23"/>
          <w:lang w:val="tr-TR"/>
        </w:rPr>
        <w:t>çıkarabilir. Bu kararnameler, Resmî Gazetede yayımlanır ve aynı gün Türkiye Büyük Millet Meclisinin onayına sunulur; bunların Meclisçe onaylanmasına ilişkin süre ve usul, İçtüzükte belirlenir”.</w:t>
      </w:r>
      <w:r>
        <w:rPr>
          <w:rFonts w:ascii="Arial Narrow" w:hAnsi="Arial Narrow" w:cs="Arial"/>
          <w:color w:val="000000"/>
          <w:sz w:val="23"/>
          <w:szCs w:val="23"/>
          <w:lang w:val="tr-TR"/>
        </w:rPr>
        <w:t xml:space="preserve"> Görüldüğü üzere, bu hükümle Bakanlar Kuruluna tanınan OHAL KHK’sı çıkarma yetkisi, sınırsız bir yetki değildir. Tam aksine anayasa koyucu, bu yetkiyi, konu ve süre yönünden sınırlamış; bu tür kanun hükmünde kararnamelerin “Olağanüstü hal süresince (…) olağanüstü halin gerekli kıldığı konular”la sınırlı olarak çıkarılabileceğini düzenlemiştir.</w:t>
      </w:r>
      <w:r>
        <w:rPr>
          <w:rStyle w:val="DipnotBavurusu"/>
          <w:rFonts w:ascii="Arial Narrow" w:hAnsi="Arial Narrow" w:cs="Arial"/>
          <w:sz w:val="23"/>
          <w:szCs w:val="23"/>
          <w:lang w:val="tr-TR"/>
        </w:rPr>
        <w:footnoteReference w:id="7"/>
      </w:r>
    </w:p>
    <w:p w:rsidR="00C17D6C" w:rsidRDefault="00C17D6C" w:rsidP="00C17D6C">
      <w:pPr>
        <w:pStyle w:val="ListeParagraf"/>
        <w:numPr>
          <w:ilvl w:val="0"/>
          <w:numId w:val="1"/>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before="0" w:beforeAutospacing="0" w:after="0" w:afterAutospacing="0"/>
        <w:ind w:right="-1"/>
        <w:contextualSpacing/>
        <w:jc w:val="both"/>
        <w:rPr>
          <w:rFonts w:ascii="Arial Narrow" w:hAnsi="Arial Narrow" w:cs="Arial"/>
          <w:color w:val="000000"/>
          <w:sz w:val="23"/>
          <w:szCs w:val="23"/>
          <w:lang w:val="tr-TR"/>
        </w:rPr>
      </w:pPr>
      <w:r>
        <w:rPr>
          <w:rFonts w:ascii="Arial Narrow" w:hAnsi="Arial Narrow" w:cs="Arial"/>
          <w:color w:val="000000"/>
          <w:sz w:val="23"/>
          <w:szCs w:val="23"/>
          <w:lang w:val="tr-TR"/>
        </w:rPr>
        <w:t xml:space="preserve">Diğer taraftan, 2935 sayılı Olağanüstü Hal Kanunu’nun 9. maddesi, Anayasanın 119. maddesinin ilk metni gereğince ilan edilen OHAL rejimlerinde alınacak tedbirleri düzenlemiştir. Kanunun 11. maddesi ise </w:t>
      </w:r>
      <w:r>
        <w:rPr>
          <w:rFonts w:ascii="Arial Narrow" w:hAnsi="Arial Narrow" w:cs="Arial"/>
          <w:color w:val="000000"/>
          <w:sz w:val="23"/>
          <w:szCs w:val="23"/>
          <w:lang w:val="tr-TR"/>
        </w:rPr>
        <w:lastRenderedPageBreak/>
        <w:t>Anayasanın mülga 120. maddesi gereğince ilan edilen OHAL rejimlerinde alınacak tedbirleri öngörmektedir. Bu madde, Anayasanın mülga 120. maddesi gereğince ilan edilen OHAL rejimi altında sınırlanacak özgürlükleri tahdidi olarak düzenlemiş; bunlar arasında ise kamu görevinden ihracı gerektiren bir sınırlamadan söz etmemiştir. Keza, 11. maddenin atıfta bulunduğu aynı Kanunun 9. maddesinde de OHAL rejimi altında sınırlanacak özgürlükler tahdidi olarak düzenlenmiş; bunlar arasında da kamu görevinden ihracı gerektiren bir sınırlamaya yer verilmemiştir.</w:t>
      </w:r>
    </w:p>
    <w:p w:rsidR="00C17D6C" w:rsidRDefault="00C17D6C" w:rsidP="00C17D6C">
      <w:pPr>
        <w:pStyle w:val="ListeParagraf"/>
        <w:numPr>
          <w:ilvl w:val="0"/>
          <w:numId w:val="1"/>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before="0" w:beforeAutospacing="0" w:after="0" w:afterAutospacing="0"/>
        <w:ind w:right="-1"/>
        <w:contextualSpacing/>
        <w:jc w:val="both"/>
        <w:rPr>
          <w:rFonts w:ascii="Arial Narrow" w:hAnsi="Arial Narrow" w:cs="Arial"/>
          <w:color w:val="000000"/>
          <w:sz w:val="23"/>
          <w:szCs w:val="23"/>
          <w:lang w:val="tr-TR"/>
        </w:rPr>
      </w:pPr>
      <w:r>
        <w:rPr>
          <w:rFonts w:ascii="Arial Narrow" w:hAnsi="Arial Narrow" w:cs="Arial"/>
          <w:color w:val="000000"/>
          <w:sz w:val="23"/>
          <w:szCs w:val="23"/>
          <w:lang w:val="tr-TR"/>
        </w:rPr>
        <w:t>OHAL KHK’ları, Anayasanın mülga 121. maddesinin 2. fıkrasının ne anlama geldiğini yorumlayan Anayasa Mahkemesi kararına da açıkça aykırıdır.</w:t>
      </w:r>
      <w:r>
        <w:rPr>
          <w:rStyle w:val="DipnotBavurusu"/>
          <w:rFonts w:ascii="Arial Narrow" w:hAnsi="Arial Narrow" w:cs="Arial"/>
          <w:sz w:val="23"/>
          <w:szCs w:val="23"/>
          <w:lang w:val="tr-TR"/>
        </w:rPr>
        <w:footnoteReference w:id="8"/>
      </w:r>
      <w:r>
        <w:rPr>
          <w:rFonts w:ascii="Arial Narrow" w:hAnsi="Arial Narrow" w:cs="Arial"/>
          <w:color w:val="000000"/>
          <w:sz w:val="23"/>
          <w:szCs w:val="23"/>
          <w:lang w:val="tr-TR"/>
        </w:rPr>
        <w:t xml:space="preserve">  Buna karşın Anayasa Mahkemesi, 1991 içtihadından farklı olarak son içtihatlarında,</w:t>
      </w:r>
      <w:r>
        <w:rPr>
          <w:rStyle w:val="DipnotBavurusu"/>
          <w:rFonts w:ascii="Arial Narrow" w:hAnsi="Arial Narrow" w:cs="Arial"/>
          <w:sz w:val="23"/>
          <w:szCs w:val="23"/>
          <w:lang w:val="tr-TR"/>
        </w:rPr>
        <w:footnoteReference w:id="9"/>
      </w:r>
      <w:r>
        <w:rPr>
          <w:rFonts w:ascii="Arial Narrow" w:hAnsi="Arial Narrow" w:cs="Arial"/>
          <w:color w:val="000000"/>
          <w:sz w:val="23"/>
          <w:szCs w:val="23"/>
          <w:lang w:val="tr-TR"/>
        </w:rPr>
        <w:t xml:space="preserve"> 148. maddedeki yargı bağışıklığını, OHAL KHK’larını denetleyemeyeceği mutlak bir yargı engeli olarak görmüştür.</w:t>
      </w:r>
    </w:p>
    <w:p w:rsidR="00C17D6C" w:rsidRDefault="00C17D6C" w:rsidP="00C17D6C">
      <w:pPr>
        <w:pStyle w:val="ListeParagraf"/>
        <w:numPr>
          <w:ilvl w:val="0"/>
          <w:numId w:val="1"/>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before="0" w:beforeAutospacing="0" w:after="0" w:afterAutospacing="0"/>
        <w:ind w:right="-1"/>
        <w:contextualSpacing/>
        <w:jc w:val="both"/>
        <w:rPr>
          <w:rFonts w:ascii="Arial Narrow" w:hAnsi="Arial Narrow" w:cs="Arial"/>
          <w:color w:val="000000"/>
          <w:sz w:val="23"/>
          <w:szCs w:val="23"/>
          <w:lang w:val="tr-TR"/>
        </w:rPr>
      </w:pPr>
      <w:r>
        <w:rPr>
          <w:rFonts w:ascii="Arial Narrow" w:hAnsi="Arial Narrow" w:cs="Arial"/>
          <w:color w:val="000000"/>
          <w:sz w:val="23"/>
          <w:szCs w:val="23"/>
          <w:lang w:val="tr-TR"/>
        </w:rPr>
        <w:t xml:space="preserve">Anayasanın 15. maddesinin içerdiği bir başka unsur, ölçülülük ilkesidir. Bu ilke, Anayasa Mahkemesi tarafından gayet açık olarak tanımlanmıştır. Buna göre; </w:t>
      </w:r>
      <w:r>
        <w:rPr>
          <w:rFonts w:ascii="Arial Narrow" w:hAnsi="Arial Narrow" w:cs="Arial"/>
          <w:i/>
          <w:color w:val="000000"/>
          <w:sz w:val="23"/>
          <w:szCs w:val="23"/>
          <w:lang w:val="tr-TR"/>
        </w:rPr>
        <w:t>“Kanun koyucu, düzenlemeler yaparken hukuk devleti ilkesinin bir gereği olan ölçülülük ilkesiyle bağlıdır. Bu ilke ise “elverişlilik”, “gereklilik” ve “orantılılık” olmak üzere üç alt ilkeden oluşmaktadır. “Elverişlilik”, başvurulan</w:t>
      </w:r>
      <w:r>
        <w:rPr>
          <w:rFonts w:ascii="Arial Narrow" w:hAnsi="Arial" w:cs="Arial"/>
          <w:i/>
          <w:color w:val="000000"/>
          <w:sz w:val="23"/>
          <w:szCs w:val="23"/>
          <w:lang w:val="tr-TR"/>
        </w:rPr>
        <w:t> </w:t>
      </w:r>
      <w:r>
        <w:rPr>
          <w:rFonts w:ascii="Arial Narrow" w:hAnsi="Arial Narrow" w:cs="Arial"/>
          <w:i/>
          <w:color w:val="000000"/>
          <w:sz w:val="23"/>
          <w:szCs w:val="23"/>
          <w:lang w:val="tr-TR"/>
        </w:rPr>
        <w:t>önlemin ulaşılmak istenen amaç için elverişli olmasını, “gereklilik”, başvurulan önlemin ulaşılmak istenen amaç bakımından gerekli olmasını, “orantılılık” ise başvurulan</w:t>
      </w:r>
      <w:r>
        <w:rPr>
          <w:rFonts w:ascii="Arial Narrow" w:hAnsi="Arial" w:cs="Arial"/>
          <w:i/>
          <w:color w:val="000000"/>
          <w:sz w:val="23"/>
          <w:szCs w:val="23"/>
          <w:lang w:val="tr-TR"/>
        </w:rPr>
        <w:t> </w:t>
      </w:r>
      <w:r>
        <w:rPr>
          <w:rFonts w:ascii="Arial Narrow" w:hAnsi="Arial Narrow" w:cs="Arial"/>
          <w:i/>
          <w:color w:val="000000"/>
          <w:sz w:val="23"/>
          <w:szCs w:val="23"/>
          <w:lang w:val="tr-TR"/>
        </w:rPr>
        <w:t>önlem ve ulaşılmak istenen amaç arasında olması gereken ölçüyü ifade etmektedir. Bir kuralda öngörülen düzenleme ile ulaşılmak istenen amaç</w:t>
      </w:r>
      <w:r>
        <w:rPr>
          <w:rFonts w:ascii="Arial Narrow" w:hAnsi="Arial" w:cs="Arial"/>
          <w:i/>
          <w:color w:val="000000"/>
          <w:sz w:val="23"/>
          <w:szCs w:val="23"/>
          <w:lang w:val="tr-TR"/>
        </w:rPr>
        <w:t> </w:t>
      </w:r>
      <w:r>
        <w:rPr>
          <w:rFonts w:ascii="Arial Narrow" w:hAnsi="Arial Narrow" w:cs="Arial"/>
          <w:i/>
          <w:color w:val="000000"/>
          <w:sz w:val="23"/>
          <w:szCs w:val="23"/>
          <w:lang w:val="tr-TR"/>
        </w:rPr>
        <w:t>arasında da “ölçülülük ilkesi” gereğince makul bir dengenin bulunması zorunludur”.</w:t>
      </w:r>
      <w:r>
        <w:rPr>
          <w:rStyle w:val="DipnotBavurusu"/>
          <w:rFonts w:ascii="Arial Narrow" w:hAnsi="Arial Narrow" w:cs="Arial"/>
          <w:sz w:val="23"/>
          <w:szCs w:val="23"/>
          <w:lang w:val="tr-TR"/>
        </w:rPr>
        <w:footnoteReference w:id="10"/>
      </w:r>
    </w:p>
    <w:p w:rsidR="00C17D6C" w:rsidRDefault="00C17D6C" w:rsidP="00C17D6C">
      <w:pPr>
        <w:pStyle w:val="ListeParagraf"/>
        <w:numPr>
          <w:ilvl w:val="0"/>
          <w:numId w:val="1"/>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before="0" w:beforeAutospacing="0" w:after="0" w:afterAutospacing="0"/>
        <w:ind w:right="-1"/>
        <w:contextualSpacing/>
        <w:jc w:val="both"/>
        <w:rPr>
          <w:rFonts w:ascii="Arial Narrow" w:hAnsi="Arial Narrow" w:cs="Arial"/>
          <w:color w:val="000000"/>
          <w:sz w:val="23"/>
          <w:szCs w:val="23"/>
          <w:lang w:val="tr-TR"/>
        </w:rPr>
      </w:pPr>
      <w:r>
        <w:rPr>
          <w:rFonts w:ascii="Arial Narrow" w:hAnsi="Arial Narrow" w:cs="Arial"/>
          <w:color w:val="000000"/>
          <w:sz w:val="23"/>
          <w:szCs w:val="23"/>
          <w:lang w:val="tr-TR"/>
        </w:rPr>
        <w:t xml:space="preserve">Darbe girişiminin ardından ilan edilen ve iki yıl süreyle uygulanan OHAL’in amacı, bu darbe girişimini bertaraf etmekti. Dolayısıyla, OHAL süresince alınan tüm kararların, bu kararların içerdiği tüm tedbirlerin bu amaca hizmet etmesi gerekirdi. Ancak, başvurucunun da aralarında bulunduğu 130 bin kişinin bir daha kamu görevinde yer alamayacak şekilde ihracı ölçülülük ilkesine açıkça aykırıdır. Zira başvurucunun darbe girişimiyle doğrudan doğruya veya dolaylı olarak ilişkili olduğunu gösteren hiçbir kanıt bulunmamaktadır. Ret kararlarına dayanak olarak gösterilen hususular, objektif olarak gerçek kanıt mahiyeti taşımamaktadır. Tam tersine, </w:t>
      </w:r>
      <w:r>
        <w:rPr>
          <w:rFonts w:ascii="Arial Narrow" w:hAnsi="Arial Narrow" w:cs="Arial"/>
          <w:color w:val="000000"/>
          <w:sz w:val="23"/>
          <w:szCs w:val="23"/>
          <w:highlight w:val="yellow"/>
          <w:lang w:val="tr-TR"/>
        </w:rPr>
        <w:t>bir telefon uygulamasını kullanma, devletin meşru kabul ettiği bir bankaya yıllar öncesinde para yatırma, Dernek/Sendika üyeliği……</w:t>
      </w:r>
      <w:r>
        <w:rPr>
          <w:rFonts w:ascii="Arial Narrow" w:hAnsi="Arial Narrow" w:cs="Arial"/>
          <w:color w:val="000000"/>
          <w:sz w:val="23"/>
          <w:szCs w:val="23"/>
          <w:lang w:val="tr-TR"/>
        </w:rPr>
        <w:t xml:space="preserve"> gibi sonradan üretilen, dolayısıyla kanıt değeri taşımaktan yoksun olan unsurlardır.</w:t>
      </w:r>
    </w:p>
    <w:p w:rsidR="00C17D6C" w:rsidRDefault="00C17D6C" w:rsidP="00C17D6C">
      <w:pPr>
        <w:pStyle w:val="ListeParagraf"/>
        <w:numPr>
          <w:ilvl w:val="0"/>
          <w:numId w:val="1"/>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before="0" w:beforeAutospacing="0" w:after="0" w:afterAutospacing="0"/>
        <w:ind w:right="-1"/>
        <w:contextualSpacing/>
        <w:jc w:val="both"/>
        <w:rPr>
          <w:rFonts w:ascii="Arial Narrow" w:hAnsi="Arial Narrow" w:cs="Arial"/>
          <w:color w:val="000000"/>
          <w:sz w:val="23"/>
          <w:szCs w:val="23"/>
          <w:lang w:val="tr-TR"/>
        </w:rPr>
      </w:pPr>
      <w:r>
        <w:rPr>
          <w:rFonts w:ascii="Arial Narrow" w:hAnsi="Arial Narrow" w:cs="Arial"/>
          <w:color w:val="000000"/>
          <w:sz w:val="23"/>
          <w:szCs w:val="23"/>
          <w:lang w:val="tr-TR"/>
        </w:rPr>
        <w:t>On binlerce kişinin kamu görevinden ihracına, mesleki</w:t>
      </w:r>
      <w:r>
        <w:rPr>
          <w:rFonts w:ascii="Arial Narrow" w:hAnsi="Arial" w:cs="Arial"/>
          <w:color w:val="000000"/>
          <w:sz w:val="23"/>
          <w:szCs w:val="23"/>
          <w:lang w:val="tr-TR"/>
        </w:rPr>
        <w:t> </w:t>
      </w:r>
      <w:r>
        <w:rPr>
          <w:rFonts w:ascii="Arial Narrow" w:hAnsi="Arial Narrow" w:cs="Arial"/>
          <w:color w:val="000000"/>
          <w:sz w:val="23"/>
          <w:szCs w:val="23"/>
          <w:lang w:val="tr-TR"/>
        </w:rPr>
        <w:t>unvan ve pasaportlarının iptaline yol açan OHAL KHK’leri, organik açıdan yürütmenin düzenleyici bir işlemidir. OHAL KHK’lerinin ilgili düzenlemeleri, ceza kanunlarında yer almayan yeni bir suç ve ceza öngörmeleri yönüyle yasama tasarrufu, ekli listelerde yer alan kişilere bu hükümleri uygulamaları yönüyle de yargısal tasarruf niteliği taşımaktadır. Bu ise OHAL KHK’lerinin her iki yönden fonksiyon gaspı ile malul olduğunu göstermektedir. Zira suç ve cezanın kanuniliği, Anayasanın 2. maddesinde yer alan hukuk devleti ilkesinde mündemiç olup bu husus 38. maddeyle ayrıca düzenlenmiştir. Ayrıca, Anayasanın 15. maddesi, “suç ve cezalar geçmişe yürütülemez” ifadesine yer vererek olağanüstü hallerde dahi bu ilkeden vazgeçilemeyeceğini hükme bağlamıştır. Böylece olağanüstü hâl süresince kabul edilen KHK’lerin şablon hükmüyle yaratılan terör örgütleriyle irtibatlı ve iltisaklı olma şeklindeki düzenleme ve bu düzenlemenin içerdiği ağır yaptırımlar, yasama fonksiyonunun gaspı niteliğindedir. OHAL KHK’lerinin suç ve ceza içeren kurallarına eklenen ve on binlerce kişinin kimlik bilgisine yer veren listeler ise, bu listede adı geçen her birey yönünden kişisel bir yargısal tasarruf niteliği taşımaktadır. Zira bir kişiye suç isnat edilmesi ve isnat edilen suça bağlı olarak ceza mahiyetinde bir yaptırım uygulanması, ancak yargısal nitelikli bir işlemle gerçekleşebilir. Üstelik bu uygulama, 15. maddenin 2. fıkrasında yer alan “suçluluğu mahkeme kararı ile saptanıncaya kadar kimse suçlu sayılamaz” hükmüne aykırıdır. Bu nedenle, OHAL gerekçe gösterilerek OHAL KHK’lerinin yol açtığı fonksiyon gaspının meşrulaştırılmasına olanak bulunmamaktadır.</w:t>
      </w:r>
      <w:r>
        <w:rPr>
          <w:rStyle w:val="DipnotBavurusu"/>
          <w:rFonts w:ascii="Arial Narrow" w:hAnsi="Arial Narrow" w:cs="Arial"/>
          <w:sz w:val="23"/>
          <w:szCs w:val="23"/>
          <w:lang w:val="tr-TR"/>
        </w:rPr>
        <w:footnoteReference w:id="11"/>
      </w:r>
    </w:p>
    <w:p w:rsidR="00C17D6C" w:rsidRDefault="00C17D6C" w:rsidP="00C17D6C">
      <w:pPr>
        <w:pStyle w:val="ListeParagraf"/>
        <w:numPr>
          <w:ilvl w:val="0"/>
          <w:numId w:val="1"/>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before="0" w:beforeAutospacing="0" w:after="0" w:afterAutospacing="0"/>
        <w:ind w:right="-1"/>
        <w:contextualSpacing/>
        <w:jc w:val="both"/>
        <w:rPr>
          <w:rFonts w:ascii="Arial Narrow" w:hAnsi="Arial Narrow" w:cs="Arial"/>
          <w:color w:val="000000"/>
          <w:sz w:val="23"/>
          <w:szCs w:val="23"/>
          <w:lang w:val="tr-TR"/>
        </w:rPr>
      </w:pPr>
      <w:r>
        <w:rPr>
          <w:rFonts w:ascii="Arial Narrow" w:hAnsi="Arial Narrow" w:cs="Arial"/>
          <w:color w:val="000000"/>
          <w:sz w:val="23"/>
          <w:szCs w:val="23"/>
          <w:lang w:val="tr-TR"/>
        </w:rPr>
        <w:t>Başvurucunun da aralarında bulunduğu on binlerce kişinin kamu görevinden ihracı, OHAL KHK’larının şablon hükmüne, sicil numaraları, unvanları, isimleri ve görev yerleri şeklindeki kişisel verilerin yer aldığı listelerin eklenmesiyle gerçekleşmiştir. Daha sonra bu listeler, internet üzerinden yayımlanmış ve medyada geniş şekilde yer almıştır. Dolayısıyla, başvurucunun özel yaşamına, kanuni ve meşru dayanağı bulunmaksızın, orantısız şekilde müdahale edilmiştir.</w:t>
      </w:r>
    </w:p>
    <w:p w:rsidR="00C17D6C" w:rsidRDefault="00C17D6C" w:rsidP="00C17D6C">
      <w:pPr>
        <w:pStyle w:val="ListeParagraf"/>
        <w:numPr>
          <w:ilvl w:val="0"/>
          <w:numId w:val="1"/>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before="0" w:beforeAutospacing="0" w:after="0" w:afterAutospacing="0"/>
        <w:ind w:right="-1"/>
        <w:contextualSpacing/>
        <w:jc w:val="both"/>
        <w:rPr>
          <w:rFonts w:ascii="Arial Narrow" w:hAnsi="Arial Narrow" w:cs="Arial"/>
          <w:color w:val="000000"/>
          <w:sz w:val="23"/>
          <w:szCs w:val="23"/>
          <w:lang w:val="tr-TR"/>
        </w:rPr>
      </w:pPr>
      <w:r>
        <w:rPr>
          <w:rFonts w:ascii="Arial Narrow" w:hAnsi="Arial Narrow" w:cs="Arial"/>
          <w:color w:val="000000"/>
          <w:sz w:val="23"/>
          <w:szCs w:val="23"/>
          <w:lang w:val="tr-TR"/>
        </w:rPr>
        <w:t>Başvurucunun özel yaşamına yönelik bu ve diğer yukarıda değinilen diğer müdahaleler, AİHS'in 8/2. maddesinde görülen kanunla öngörülmesi şartını ile meşru amaçlardan birini taşımamanın yanı sıra demokratik bir toplumda gerekli olma koşulunu da karşılamamaktadır.</w:t>
      </w:r>
    </w:p>
    <w:p w:rsidR="00C17D6C" w:rsidRDefault="00C17D6C" w:rsidP="00C17D6C">
      <w:pPr>
        <w:pStyle w:val="ListeParagraf"/>
        <w:numPr>
          <w:ilvl w:val="0"/>
          <w:numId w:val="1"/>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before="0" w:beforeAutospacing="0" w:after="0" w:afterAutospacing="0"/>
        <w:ind w:right="-1"/>
        <w:contextualSpacing/>
        <w:jc w:val="both"/>
        <w:rPr>
          <w:rFonts w:ascii="Arial Narrow" w:hAnsi="Arial Narrow" w:cs="Arial"/>
          <w:color w:val="000000"/>
          <w:sz w:val="23"/>
          <w:szCs w:val="23"/>
          <w:lang w:val="tr-TR"/>
        </w:rPr>
      </w:pPr>
      <w:r>
        <w:rPr>
          <w:rFonts w:ascii="Arial Narrow" w:hAnsi="Arial Narrow" w:cs="Arial"/>
          <w:color w:val="000000"/>
          <w:sz w:val="23"/>
          <w:szCs w:val="23"/>
          <w:lang w:val="tr-TR"/>
        </w:rPr>
        <w:lastRenderedPageBreak/>
        <w:t>AİHM’e göre, bir müdahalenin haklı bir müdahale olarak kabulü için “gerekli olması” icap eder. AİHM, “gereklilik” şartının, müdahalenin bir toplumsal ihtiyaç baskısına karşılık gelmesi ve özellikle izlediği meşru amaçla orantılı olması anlamına geldiğini belirtmiştir. Bir müdahalenin bu kriterleri karşıladığı, ancak gerekçelerin ilgili ve yeterli olması ile anlaşılabilir (Nada/İsviçre Kararı).</w:t>
      </w:r>
    </w:p>
    <w:p w:rsidR="00C17D6C" w:rsidRDefault="00C17D6C" w:rsidP="00C17D6C">
      <w:pPr>
        <w:pStyle w:val="ListeParagraf"/>
        <w:numPr>
          <w:ilvl w:val="0"/>
          <w:numId w:val="1"/>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before="0" w:beforeAutospacing="0" w:after="0" w:afterAutospacing="0"/>
        <w:ind w:right="-1"/>
        <w:contextualSpacing/>
        <w:jc w:val="both"/>
        <w:rPr>
          <w:rFonts w:ascii="Arial Narrow" w:hAnsi="Arial Narrow" w:cs="Arial"/>
          <w:color w:val="000000"/>
          <w:sz w:val="23"/>
          <w:szCs w:val="23"/>
          <w:lang w:val="tr-TR"/>
        </w:rPr>
      </w:pPr>
      <w:r>
        <w:rPr>
          <w:rFonts w:ascii="Arial Narrow" w:hAnsi="Arial Narrow" w:cs="Arial"/>
          <w:color w:val="000000"/>
          <w:sz w:val="23"/>
          <w:szCs w:val="23"/>
          <w:lang w:val="tr-TR"/>
        </w:rPr>
        <w:t>AİHM, orantılılık açısından inceleme yaparken birey ile toplumun yarışan menfaatleri arasında adil dengenin kurulmuş olup olmadığını dikkate almaktadır. Bir müdahalenin orantılı olduğunun kabulü için, söz konusu temel hakka daha az zarar verebilecek ve aynı amaca ulaşılabilecek başka bir yönteme başvurma ihtimalinin olmaması gerekir (Nada/İsviçre Kararı). Sözleşme'nin 8/2. maddesindeki “gereklilik” şartının incelenmesinde Mahkeme, sadece maddi yönden inceleme ile sınırlı kalmamakta, usul şartlarını da değerlendirmektedir. Buna göre, karar alma [müdahale] sürecinin 8. maddeyle korunan menfaatlere gerekli saygıyı sağlayacak nitelikte ve adil olması gerekmektedir. Bu süreç, ilgilinin 8. maddedeki haklarını, deliller ve kanıtlama sorunu dahil, adil şartlarda savunabileceği etkili bir usul mevzuatının varlığını gerektirir (Buckley/Birleşik Krallık; Turek/Slovakya).</w:t>
      </w:r>
    </w:p>
    <w:p w:rsidR="00C17D6C" w:rsidRDefault="00C17D6C" w:rsidP="00C17D6C">
      <w:pPr>
        <w:pStyle w:val="ListeParagraf"/>
        <w:numPr>
          <w:ilvl w:val="0"/>
          <w:numId w:val="1"/>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before="0" w:beforeAutospacing="0" w:after="0" w:afterAutospacing="0"/>
        <w:ind w:right="-1"/>
        <w:contextualSpacing/>
        <w:jc w:val="both"/>
        <w:rPr>
          <w:rFonts w:ascii="Arial Narrow" w:hAnsi="Arial Narrow" w:cs="Arial"/>
          <w:color w:val="000000"/>
          <w:sz w:val="23"/>
          <w:szCs w:val="23"/>
          <w:highlight w:val="yellow"/>
          <w:lang w:val="tr-TR"/>
        </w:rPr>
      </w:pPr>
      <w:r>
        <w:rPr>
          <w:rFonts w:ascii="Arial Narrow" w:hAnsi="Arial Narrow" w:cs="Arial"/>
          <w:sz w:val="23"/>
          <w:szCs w:val="23"/>
          <w:highlight w:val="yellow"/>
          <w:lang w:val="tr-TR" w:eastAsia="tr-TR"/>
        </w:rPr>
        <w:t>Başvurucunun telefon iletişim (HTS) ve internet trafik bilgileri hukuka aykırı şekilde temin edilmiştir. Herkesin uygulama marketlerinden ücretsiz olarak indirebildiği sıradan bir mesajlaşma uygulaması nedeniyle başvurucu silahlı terör örgütü ile irtibatlı/iltisaklı olarak kabul edilmiştir. Bu şekilde, başvurucunun özel hayatına ve haberleşme özgürlüğüne haksız ve orantısız bir müdahalede bulunulmuştur.</w:t>
      </w:r>
    </w:p>
    <w:p w:rsidR="00C17D6C" w:rsidRDefault="00C17D6C" w:rsidP="00C17D6C">
      <w:pPr>
        <w:pStyle w:val="ListeParagraf"/>
        <w:numPr>
          <w:ilvl w:val="0"/>
          <w:numId w:val="1"/>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before="0" w:beforeAutospacing="0" w:after="0" w:afterAutospacing="0"/>
        <w:ind w:right="-1"/>
        <w:contextualSpacing/>
        <w:jc w:val="both"/>
        <w:rPr>
          <w:rFonts w:ascii="Arial Narrow" w:hAnsi="Arial Narrow" w:cs="Arial"/>
          <w:color w:val="000000"/>
          <w:sz w:val="23"/>
          <w:szCs w:val="23"/>
          <w:highlight w:val="yellow"/>
          <w:lang w:val="tr-TR"/>
        </w:rPr>
      </w:pPr>
      <w:r>
        <w:rPr>
          <w:rFonts w:ascii="Arial Narrow" w:hAnsi="Arial Narrow" w:cs="Arial"/>
          <w:sz w:val="23"/>
          <w:szCs w:val="23"/>
          <w:highlight w:val="yellow"/>
          <w:lang w:val="tr-TR" w:eastAsia="tr-TR"/>
        </w:rPr>
        <w:t xml:space="preserve">Ceza Muhakemesi Kanunu'nun (CMK) 134. ve 135. maddeleri ile öngörülen gereklilikler yerine getirilmeksizin başvurucunun haberleşmesine müdahale edilmiştir. </w:t>
      </w:r>
    </w:p>
    <w:p w:rsidR="00C17D6C" w:rsidRDefault="00C17D6C" w:rsidP="00C17D6C">
      <w:pPr>
        <w:pStyle w:val="ListeParagraf"/>
        <w:numPr>
          <w:ilvl w:val="0"/>
          <w:numId w:val="1"/>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before="0" w:beforeAutospacing="0" w:after="0" w:afterAutospacing="0"/>
        <w:ind w:right="-1"/>
        <w:contextualSpacing/>
        <w:jc w:val="both"/>
        <w:rPr>
          <w:rFonts w:ascii="Arial Narrow" w:hAnsi="Arial Narrow" w:cs="Arial"/>
          <w:color w:val="000000"/>
          <w:sz w:val="23"/>
          <w:szCs w:val="23"/>
          <w:highlight w:val="yellow"/>
          <w:lang w:val="tr-TR"/>
        </w:rPr>
      </w:pPr>
      <w:r>
        <w:rPr>
          <w:rFonts w:ascii="Arial Narrow" w:hAnsi="Arial Narrow" w:cs="Arial"/>
          <w:sz w:val="23"/>
          <w:szCs w:val="23"/>
          <w:highlight w:val="yellow"/>
          <w:lang w:val="tr-TR" w:eastAsia="tr-TR"/>
        </w:rPr>
        <w:t>MİT, Bylock mesajlaşma uygulamasına dair verileri yasal temeli olmaksızın elde etmiş ve üzerinde çalışmıştır. Dolayısıyla, Sözleşme'nin 8/2. maddesindeki "yasallık" şartı karşılanmamıştır.</w:t>
      </w:r>
    </w:p>
    <w:p w:rsidR="00C17D6C" w:rsidRDefault="00C17D6C" w:rsidP="00C17D6C">
      <w:pPr>
        <w:pStyle w:val="ListeParagraf"/>
        <w:numPr>
          <w:ilvl w:val="0"/>
          <w:numId w:val="1"/>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before="0" w:beforeAutospacing="0" w:after="0" w:afterAutospacing="0"/>
        <w:ind w:right="-1"/>
        <w:contextualSpacing/>
        <w:jc w:val="both"/>
        <w:rPr>
          <w:rFonts w:ascii="Arial Narrow" w:hAnsi="Arial Narrow" w:cs="Arial"/>
          <w:color w:val="000000"/>
          <w:sz w:val="23"/>
          <w:szCs w:val="23"/>
          <w:highlight w:val="yellow"/>
          <w:lang w:val="tr-TR"/>
        </w:rPr>
      </w:pPr>
      <w:r>
        <w:rPr>
          <w:rFonts w:ascii="Arial Narrow" w:hAnsi="Arial Narrow" w:cs="Arial"/>
          <w:sz w:val="23"/>
          <w:szCs w:val="23"/>
          <w:highlight w:val="yellow"/>
          <w:lang w:val="tr-TR" w:eastAsia="tr-TR"/>
        </w:rPr>
        <w:t>Saklanmaları için mevzuatta öngörülen azami sürenin geçmesine rağmen, başvurucunun telefon iletişim ve internet trafik bilgileri, GSM şirketleri tarafından saklanmıştır. Bu bilgiler, ulusal hukuka aykırı şekilde, daha doğrusu yasal dayanağı bulunmaksızın, BTK tarafından üzerinde çalışılarak adli makamlarla paylaşılmış ve hükümde başvurucu aleyhine delil olarak kullanılmıştır. Ayrıca, isnat edilen suçlamayla doğrudan ilgisi bulunmayan, başvurucunun ailevi ve sosyal çevresi ile yaptığı telefon görüşmelerine ilişkin … – … tarihleri arasındaki (… yıl … aylık) telefon iletişim bilgileri (HTS) CMK’nın 135. maddesine aykırı bir şekilde temin edilerek dava dosyasına konulmuştur. Söz konusu keyfi müdahale ve kötüye kullanıma karşı kanunda ve uygulamada herhangi bir güvence bulunmamaktadır.</w:t>
      </w:r>
    </w:p>
    <w:p w:rsidR="00C17D6C" w:rsidRDefault="00C17D6C" w:rsidP="00C17D6C">
      <w:pPr>
        <w:pStyle w:val="ListeParagraf"/>
        <w:numPr>
          <w:ilvl w:val="0"/>
          <w:numId w:val="1"/>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before="0" w:beforeAutospacing="0" w:after="0" w:afterAutospacing="0"/>
        <w:ind w:right="-1"/>
        <w:contextualSpacing/>
        <w:jc w:val="both"/>
        <w:rPr>
          <w:rFonts w:ascii="Arial Narrow" w:hAnsi="Arial Narrow" w:cs="Arial"/>
          <w:color w:val="000000"/>
          <w:sz w:val="23"/>
          <w:szCs w:val="23"/>
          <w:highlight w:val="yellow"/>
          <w:lang w:val="tr-TR"/>
        </w:rPr>
      </w:pPr>
      <w:r>
        <w:rPr>
          <w:rFonts w:ascii="Arial Narrow" w:hAnsi="Arial Narrow" w:cs="Arial"/>
          <w:sz w:val="23"/>
          <w:szCs w:val="23"/>
          <w:highlight w:val="yellow"/>
          <w:lang w:val="tr-TR" w:eastAsia="tr-TR"/>
        </w:rPr>
        <w:t xml:space="preserve">Başvurucunun Bank Asya isimli bankada hesabının/para hareketlerinin bulunması meslekten çıkarma sebepleri arasında sayılmıştır. Oysaki adı geçen banka TMSF tarafından el konulana kadar, devletin izni ve denetimi altında, yasal olarak faaliyetlerine devam etmiştir. Aynı şekilde, </w:t>
      </w:r>
      <w:r>
        <w:rPr>
          <w:rFonts w:ascii="Arial Narrow" w:hAnsi="Arial Narrow" w:cs="Arial"/>
          <w:color w:val="000000"/>
          <w:sz w:val="23"/>
          <w:szCs w:val="23"/>
          <w:highlight w:val="yellow"/>
          <w:lang w:val="tr-TR"/>
        </w:rPr>
        <w:t xml:space="preserve">… şirketinde/okulunda çalışmak, çocuğunu … okuluna göndermek meslekten çıkarma nedeni olarak kabul edilmiştir. </w:t>
      </w:r>
      <w:r>
        <w:rPr>
          <w:rFonts w:ascii="Arial Narrow" w:hAnsi="Arial Narrow" w:cs="Arial"/>
          <w:sz w:val="23"/>
          <w:szCs w:val="23"/>
          <w:highlight w:val="yellow"/>
          <w:lang w:val="tr-TR" w:eastAsia="tr-TR"/>
        </w:rPr>
        <w:t>Oysaki söz konusu şirket/okul 15 Temmuz sonrası OHAL KHK’sı ile kapatılana kadar, devletin izni ve denetimi altında, yasal olarak faaliyetlerine devam etmiştir. Dolayısıyla, ihraç kararında bu hususlara dayanılması başvurucunun özel yaşamına haksız ve orantısız bir müdahale oluşturmaktadır.</w:t>
      </w:r>
    </w:p>
    <w:p w:rsidR="00C17D6C" w:rsidRDefault="00C17D6C" w:rsidP="00C17D6C">
      <w:pPr>
        <w:pStyle w:val="ListeParagraf"/>
        <w:numPr>
          <w:ilvl w:val="0"/>
          <w:numId w:val="1"/>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before="0" w:beforeAutospacing="0" w:after="0" w:afterAutospacing="0"/>
        <w:ind w:right="-1" w:hanging="622"/>
        <w:contextualSpacing/>
        <w:jc w:val="both"/>
        <w:rPr>
          <w:rFonts w:ascii="Arial Narrow" w:hAnsi="Arial Narrow" w:cs="Arial"/>
          <w:color w:val="000000"/>
          <w:sz w:val="23"/>
          <w:szCs w:val="23"/>
          <w:highlight w:val="yellow"/>
          <w:lang w:val="tr-TR"/>
        </w:rPr>
      </w:pPr>
      <w:r>
        <w:rPr>
          <w:rFonts w:ascii="Arial Narrow" w:hAnsi="Arial Narrow" w:cs="Arial"/>
          <w:sz w:val="23"/>
          <w:szCs w:val="23"/>
          <w:highlight w:val="yellow"/>
          <w:lang w:val="tr-TR" w:eastAsia="tr-TR"/>
        </w:rPr>
        <w:t xml:space="preserve">OHAL Komisyonu’nun ret kararında, “Kurumu tarafından Komisyona intikal ettirilen personel bilgi dosyasında; başvurucunun en son görev yaptığı birim tarafından FETÖ/PDY Terör Örgütü ile bağlantısı-ilişkisi olduğu yönünde değerlendirmenin bulunduğunun bildirildiği” ifade edilmiştir. Öncelikle söz konusu belgenin başvurucuya tebliğ edilmediğini, dolayısıyla içeriği ve mahiyeti hakkında bilgi sahibi olmadığımızı belirtmek istiyoruz. Ulusal mahkemeler tarafından bu belgenin ne şekilde düzenlendiği, içeriğinde yer alan bilgilerin dayanağının ne olduğu, hukuka uygun elde edilip edilmediği, güvenilir olup olmadığı gibi hususlar araştırılmamıştır. Oysaki “fişleme” diye tabir edilen yöntemle, hukuka aykırı şekilde elde edilen bilgilerin hiçbir adli ya da idari işlemlerde kullanılamayacağı ve “özel hayata ve aile hayatına saygı hakkına” aykırılık oluşturacağı açıktır. Zaten darbe girişiminin hemen ardından on binlerce kamu görevlisinin açığa alınması ve ihraç edilmesi, listelerin çok önceden oluşturulduğunu açıkça göstermektedir. </w:t>
      </w:r>
    </w:p>
    <w:p w:rsidR="00C17D6C" w:rsidRDefault="00C17D6C" w:rsidP="00C17D6C">
      <w:pPr>
        <w:pStyle w:val="ListeParagraf"/>
        <w:numPr>
          <w:ilvl w:val="0"/>
          <w:numId w:val="1"/>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before="0" w:beforeAutospacing="0" w:after="0" w:afterAutospacing="0"/>
        <w:ind w:right="-1"/>
        <w:contextualSpacing/>
        <w:jc w:val="both"/>
        <w:rPr>
          <w:rFonts w:ascii="Arial Narrow" w:hAnsi="Arial Narrow" w:cs="Arial"/>
          <w:color w:val="000000"/>
          <w:sz w:val="23"/>
          <w:szCs w:val="23"/>
          <w:highlight w:val="yellow"/>
          <w:lang w:val="tr-TR"/>
        </w:rPr>
      </w:pPr>
      <w:r>
        <w:rPr>
          <w:rFonts w:ascii="Arial Narrow" w:hAnsi="Arial Narrow" w:cs="Arial"/>
          <w:sz w:val="23"/>
          <w:szCs w:val="23"/>
          <w:highlight w:val="yellow"/>
          <w:lang w:val="tr-TR" w:eastAsia="tr-TR"/>
        </w:rPr>
        <w:t>Başvurucunun meslekten çıkarma kararına karşı yaptığı başvuru, resmi (mesleki) görev ile bu görevin ifasıyla hiçbir ilgisi olmayan özel hayat arasında ayrım yapılmaksızın reddedilmiştir. Başka bir ifadeyle başvurucunun itirazı, yaptığı görevle hiçbir ilgisi olmayan, özel hayat kapsamındaki nedenlerle reddedilmiştir.</w:t>
      </w:r>
    </w:p>
    <w:p w:rsidR="00C17D6C" w:rsidRDefault="00C17D6C" w:rsidP="00C17D6C">
      <w:pPr>
        <w:pStyle w:val="ListeParagraf"/>
        <w:numPr>
          <w:ilvl w:val="0"/>
          <w:numId w:val="1"/>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before="0" w:beforeAutospacing="0" w:after="0" w:afterAutospacing="0"/>
        <w:ind w:right="-1"/>
        <w:contextualSpacing/>
        <w:jc w:val="both"/>
        <w:rPr>
          <w:rFonts w:ascii="Arial Narrow" w:hAnsi="Arial Narrow" w:cs="Arial"/>
          <w:color w:val="000000"/>
          <w:lang w:val="tr-TR"/>
        </w:rPr>
      </w:pPr>
      <w:r>
        <w:rPr>
          <w:rFonts w:ascii="Arial Narrow" w:hAnsi="Arial Narrow" w:cs="Arial"/>
          <w:lang w:val="tr-TR" w:eastAsia="tr-TR"/>
        </w:rPr>
        <w:t>Adil olmayan bir yargılama süreci sonucu başvurucu “örgüte üye, örgütle irtibatlı/iltisaklı” olarak yaftalanmış, kendisinin ve ailesinin şeref ve onuru zedelenmiştir. Böylece başvurucunun özel ve aile hayatına saygı gösterilmesi hakkı ihlal edilmiştir.</w:t>
      </w:r>
    </w:p>
    <w:p w:rsidR="00C17D6C" w:rsidRDefault="00C17D6C" w:rsidP="00C17D6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before="120" w:after="0" w:line="240" w:lineRule="auto"/>
        <w:ind w:right="-1" w:firstLine="567"/>
        <w:jc w:val="center"/>
        <w:outlineLvl w:val="0"/>
        <w:rPr>
          <w:rFonts w:ascii="Arial Narrow" w:eastAsia="Times New Roman" w:hAnsi="Arial Narrow" w:cs="Arial"/>
          <w:b/>
          <w:bCs/>
          <w:sz w:val="24"/>
          <w:szCs w:val="24"/>
          <w:u w:val="single"/>
          <w:lang w:eastAsia="tr-TR"/>
        </w:rPr>
      </w:pPr>
      <w:r>
        <w:rPr>
          <w:rFonts w:ascii="Arial Narrow" w:eastAsia="Times New Roman" w:hAnsi="Arial Narrow" w:cs="Arial"/>
          <w:b/>
          <w:bCs/>
          <w:sz w:val="24"/>
          <w:szCs w:val="24"/>
          <w:u w:val="single"/>
          <w:lang w:eastAsia="tr-TR"/>
        </w:rPr>
        <w:t>Anayasa’nın 10, 13 ve AİHS’in 14, 18. Maddeleri Kapsamındaki Şikayetlere İlişkin Açıklamalar</w:t>
      </w:r>
    </w:p>
    <w:p w:rsidR="00C17D6C" w:rsidRDefault="00C17D6C" w:rsidP="00C17D6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before="120" w:after="0" w:line="240" w:lineRule="auto"/>
        <w:ind w:right="-1" w:firstLine="567"/>
        <w:outlineLvl w:val="0"/>
        <w:rPr>
          <w:rFonts w:ascii="Arial Narrow" w:eastAsia="Times New Roman" w:hAnsi="Arial Narrow" w:cs="Arial"/>
          <w:b/>
          <w:bCs/>
          <w:sz w:val="24"/>
          <w:szCs w:val="24"/>
          <w:u w:val="single"/>
          <w:lang w:eastAsia="tr-TR"/>
        </w:rPr>
      </w:pPr>
    </w:p>
    <w:p w:rsidR="00C17D6C" w:rsidRDefault="00C17D6C" w:rsidP="00C17D6C">
      <w:pPr>
        <w:pStyle w:val="ListeParagraf"/>
        <w:numPr>
          <w:ilvl w:val="0"/>
          <w:numId w:val="1"/>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before="0" w:beforeAutospacing="0" w:after="0" w:afterAutospacing="0"/>
        <w:ind w:right="-1"/>
        <w:contextualSpacing/>
        <w:jc w:val="both"/>
        <w:rPr>
          <w:rFonts w:ascii="Arial Narrow" w:hAnsi="Arial Narrow" w:cs="Arial"/>
          <w:lang w:val="tr-TR" w:eastAsia="tr-TR"/>
        </w:rPr>
      </w:pPr>
      <w:r>
        <w:rPr>
          <w:rFonts w:ascii="Arial Narrow" w:hAnsi="Arial Narrow" w:cs="Arial"/>
          <w:highlight w:val="yellow"/>
          <w:lang w:val="tr-TR" w:eastAsia="tr-TR"/>
        </w:rPr>
        <w:lastRenderedPageBreak/>
        <w:t>Bylock kullandığı, Bank Asya isimli bir bankaya para yatırdığı, … Derneği’ne/Sendikası’na üye olduğu/yardım ettiği, Çocuğunu …isimli okula gönderdiği, …gazetesine/Dergisine abone olduğu, barışçıl dini sohbetlere katıldığı</w:t>
      </w:r>
      <w:r>
        <w:rPr>
          <w:rFonts w:ascii="Arial Narrow" w:hAnsi="Arial Narrow" w:cs="Arial"/>
          <w:lang w:val="tr-TR" w:eastAsia="tr-TR"/>
        </w:rPr>
        <w:t xml:space="preserve"> …gerekçesiyle başvurucunun toplumun geniş kesimi tarafından “cemaat” olarak adlandırılan bir yapıyla irtibatı/iltisaklı olduğu kabul edilmiştir. Başvurucunun ihracına dayanak yapılan aynı faaliyetler nedeniyle başka kişiler hakkında hiçbir adli işlem yapılmamıştır.</w:t>
      </w:r>
    </w:p>
    <w:p w:rsidR="00C17D6C" w:rsidRDefault="00C17D6C" w:rsidP="00C17D6C">
      <w:pPr>
        <w:pStyle w:val="ListeParagraf"/>
        <w:numPr>
          <w:ilvl w:val="0"/>
          <w:numId w:val="1"/>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before="0" w:beforeAutospacing="0" w:after="0" w:afterAutospacing="0"/>
        <w:ind w:right="-1"/>
        <w:contextualSpacing/>
        <w:jc w:val="both"/>
        <w:rPr>
          <w:rFonts w:ascii="Arial Narrow" w:hAnsi="Arial Narrow" w:cs="Arial"/>
          <w:highlight w:val="yellow"/>
          <w:lang w:val="tr-TR" w:eastAsia="tr-TR"/>
        </w:rPr>
      </w:pPr>
      <w:r>
        <w:rPr>
          <w:rFonts w:ascii="Arial Narrow" w:hAnsi="Arial Narrow" w:cs="Arial"/>
          <w:highlight w:val="yellow"/>
          <w:lang w:val="tr-TR" w:eastAsia="tr-TR"/>
        </w:rPr>
        <w:t xml:space="preserve">Google PlayStore ve Apple AppStore mağazalarındaki verilere göre, Bylock haberleşme uygulaması yaklaşık 600 bin kez indirilmiştir. MİT Teknik Raporuna göre ise 215 bin kullanıcısı bulunmaktadır. Ancak kullanıcılardan sınırlı sayıda kişi hakkında adli ve idari işlem başlatılmıştır. Örneğin Bylock kullanan iktidar milletvekili ve yetkililerinin bulunduğu yoğun şekilde kamuoyunda tartışılmış, bu kişiler söz konusu uygulamayı kullanmaktan sorumlu tutulmazken, başvurucu aynı iddia sebebiyle hukuka aykırı şekilde meslekten çıkarılmıştır. Yine, sendika/dernek üyeliği, bağışta bulunma, dini sohbete gitme, bankaya para yatırma, ankesörle aranma, gazete/dergi aboneliği veya Garson isimli gizli tanık tarafından fişlenmiş olmak diğer kişilerden farklı olarak başvurucunun meslekten çıkarılmasına gerekçe yapılmış ve bu suretle, başvurucunun eşit muamele görme hakkı, adil yargılanma hakkı, kanunsuz ceza olmaz ilkesi, özel hayatının korunması ve haberleşmenin gizliliği hakkı ile bağlantılı olarak ihlal edilmiştir. </w:t>
      </w:r>
    </w:p>
    <w:p w:rsidR="00C17D6C" w:rsidRDefault="00C17D6C" w:rsidP="00C17D6C">
      <w:pPr>
        <w:pStyle w:val="ListeParagraf"/>
        <w:numPr>
          <w:ilvl w:val="0"/>
          <w:numId w:val="1"/>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before="0" w:beforeAutospacing="0" w:after="0" w:afterAutospacing="0"/>
        <w:ind w:right="-1"/>
        <w:contextualSpacing/>
        <w:jc w:val="both"/>
        <w:rPr>
          <w:rFonts w:ascii="Arial Narrow" w:hAnsi="Arial Narrow" w:cs="Arial"/>
          <w:lang w:val="tr-TR" w:eastAsia="tr-TR"/>
        </w:rPr>
      </w:pPr>
      <w:r>
        <w:rPr>
          <w:rFonts w:ascii="Arial Narrow" w:hAnsi="Arial Narrow" w:cs="Arial"/>
          <w:lang w:val="tr-TR" w:eastAsia="tr-TR"/>
        </w:rPr>
        <w:t>Aynı şekilde, özellikle 15 Temmuz 2016 sonrası oluşan sosyal ve siyasal ortamda, hak ve özgürlükler AİHS hükümleri ile öngörülen amaçlar dışında aşırı ve orantısız şekilde kısıtlanmıştır.</w:t>
      </w:r>
    </w:p>
    <w:p w:rsidR="00C17D6C" w:rsidRDefault="00C17D6C" w:rsidP="00C17D6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before="120" w:after="0" w:line="240" w:lineRule="auto"/>
        <w:ind w:right="-1"/>
        <w:jc w:val="both"/>
        <w:rPr>
          <w:rFonts w:ascii="Arial Narrow" w:eastAsia="Times New Roman" w:hAnsi="Arial Narrow" w:cs="Arial"/>
          <w:b/>
          <w:bCs/>
          <w:sz w:val="24"/>
          <w:szCs w:val="24"/>
          <w:u w:val="single"/>
          <w:lang w:eastAsia="tr-TR"/>
        </w:rPr>
      </w:pPr>
      <w:r>
        <w:rPr>
          <w:rFonts w:ascii="Arial Narrow" w:eastAsia="Times New Roman" w:hAnsi="Arial Narrow" w:cs="Arial"/>
          <w:b/>
          <w:bCs/>
          <w:sz w:val="24"/>
          <w:szCs w:val="24"/>
          <w:lang w:eastAsia="tr-TR"/>
        </w:rPr>
        <w:t xml:space="preserve">   </w:t>
      </w:r>
      <w:r>
        <w:rPr>
          <w:rFonts w:ascii="Arial Narrow" w:eastAsia="Times New Roman" w:hAnsi="Arial Narrow" w:cs="Arial"/>
          <w:b/>
          <w:bCs/>
          <w:sz w:val="24"/>
          <w:szCs w:val="24"/>
          <w:u w:val="single"/>
          <w:lang w:eastAsia="tr-TR"/>
        </w:rPr>
        <w:t>Anayasa’nın 35 ve AİHS’e Ek 1 No’lu Protokol’ün 1. Maddesi Kapsamındaki Şikayetlere İlişkin Açıklamalar</w:t>
      </w:r>
    </w:p>
    <w:p w:rsidR="00C17D6C" w:rsidRDefault="00C17D6C" w:rsidP="00C17D6C">
      <w:pPr>
        <w:pStyle w:val="ListeParagraf"/>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before="120" w:beforeAutospacing="0" w:after="0" w:afterAutospacing="0"/>
        <w:ind w:left="924" w:right="-1"/>
        <w:jc w:val="both"/>
        <w:rPr>
          <w:rFonts w:ascii="Arial Narrow" w:hAnsi="Arial Narrow" w:cs="Arial"/>
          <w:b/>
          <w:bCs/>
          <w:u w:val="single"/>
          <w:lang w:val="tr-TR" w:eastAsia="tr-TR"/>
        </w:rPr>
      </w:pPr>
    </w:p>
    <w:p w:rsidR="00C17D6C" w:rsidRDefault="00C17D6C" w:rsidP="00C17D6C">
      <w:pPr>
        <w:pStyle w:val="ListeParagraf"/>
        <w:numPr>
          <w:ilvl w:val="0"/>
          <w:numId w:val="1"/>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before="0" w:beforeAutospacing="0" w:after="0" w:afterAutospacing="0"/>
        <w:ind w:right="-1"/>
        <w:contextualSpacing/>
        <w:jc w:val="both"/>
        <w:rPr>
          <w:rFonts w:ascii="Arial Narrow" w:hAnsi="Arial Narrow" w:cs="Arial"/>
          <w:lang w:val="tr-TR" w:eastAsia="tr-TR"/>
        </w:rPr>
      </w:pPr>
      <w:r>
        <w:rPr>
          <w:rFonts w:ascii="Arial Narrow" w:hAnsi="Arial Narrow" w:cs="Arial"/>
          <w:lang w:val="tr-TR" w:eastAsia="tr-TR"/>
        </w:rPr>
        <w:t>Başvurucuyu kalıcı şekilde kamu görevinden çıkarma, bu şekilde başkaca benzer meslekleri icra etmeyi yasaklama, maaşından ve sağlık güvencesinden mahrum bırakma ve zorunlu katkı payı ödeyerek zamanında emeklilik haklarını engelleme suretiyle başvurucunun mülkiyet hakkına açık ve haksız bir müdahale bulunulmuştur.</w:t>
      </w:r>
    </w:p>
    <w:p w:rsidR="00C17D6C" w:rsidRDefault="00C17D6C" w:rsidP="00C17D6C">
      <w:pPr>
        <w:pStyle w:val="ListeParagraf"/>
        <w:numPr>
          <w:ilvl w:val="0"/>
          <w:numId w:val="1"/>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before="0" w:beforeAutospacing="0" w:after="0" w:afterAutospacing="0"/>
        <w:ind w:right="-1"/>
        <w:contextualSpacing/>
        <w:jc w:val="both"/>
        <w:rPr>
          <w:rFonts w:ascii="Arial Narrow" w:hAnsi="Arial Narrow" w:cs="Arial"/>
          <w:lang w:val="tr-TR" w:eastAsia="tr-TR"/>
        </w:rPr>
      </w:pPr>
      <w:r>
        <w:rPr>
          <w:rFonts w:ascii="Arial Narrow" w:hAnsi="Arial Narrow" w:cs="Arial"/>
          <w:lang w:val="tr-TR" w:eastAsia="tr-TR"/>
        </w:rPr>
        <w:t>Henüz elde edilmemiş olan ancak “meşru beklenti” kapsamındaki malvarlığı değerleri de mülkiyet hakkı kapsamında yer almaktadır.</w:t>
      </w:r>
    </w:p>
    <w:p w:rsidR="00C17D6C" w:rsidRDefault="00C17D6C" w:rsidP="00C17D6C">
      <w:pPr>
        <w:pStyle w:val="ListeParagraf"/>
        <w:numPr>
          <w:ilvl w:val="0"/>
          <w:numId w:val="1"/>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before="0" w:beforeAutospacing="0" w:after="0" w:afterAutospacing="0"/>
        <w:ind w:right="-1"/>
        <w:contextualSpacing/>
        <w:jc w:val="both"/>
        <w:rPr>
          <w:rFonts w:ascii="Arial Narrow" w:hAnsi="Arial Narrow" w:cs="Arial"/>
          <w:lang w:val="tr-TR" w:eastAsia="tr-TR"/>
        </w:rPr>
      </w:pPr>
      <w:r>
        <w:rPr>
          <w:rFonts w:ascii="Arial Narrow" w:hAnsi="Arial Narrow" w:cs="Arial"/>
          <w:lang w:val="tr-TR" w:eastAsia="tr-TR"/>
        </w:rPr>
        <w:t>Hukuka uygun davrandığı sürece bir kamu görevlisi, emeklilik yaşına kadar çalışma, maaş elde etme, sosyal güvenlikten yararlanma ve emeklilik haklarına sahip olma hakkına sahiptir. Disiplin suçu işlemedikçe ve adil bir yargılama sonucu kamu görevinden çıkarılmadıkça, kamu görevlileri düzenli olarak maaş alır ve emekli oluncaya kadar da maaş almaya devam ederler. İç hukuk, kamu görevlilerine maaş alma, emeklilik haklarını süresinde elde etme ve sosyal güvenlik konularında son derece sağlam hukuki dayanaklar sunmaktadır. Kamu görevlileri yasalara uygun davrandıkları sürece, emekli oluncaya kadar maaş alma ve emeklilik haklarını kazanma konusunda meşru bir beklentiye sahiptirler. Maaş, sosyal güvenlik ve emeklilik hakları bu nedenle mülkiyet hakkının kapsamı ve koruması altındadır.</w:t>
      </w:r>
    </w:p>
    <w:p w:rsidR="00C17D6C" w:rsidRDefault="00C17D6C" w:rsidP="00C17D6C">
      <w:pPr>
        <w:pStyle w:val="ListeParagraf"/>
        <w:numPr>
          <w:ilvl w:val="0"/>
          <w:numId w:val="1"/>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before="0" w:beforeAutospacing="0" w:after="0" w:afterAutospacing="0"/>
        <w:ind w:right="-1"/>
        <w:contextualSpacing/>
        <w:jc w:val="both"/>
        <w:rPr>
          <w:rFonts w:ascii="Arial Narrow" w:hAnsi="Arial Narrow" w:cs="Arial"/>
          <w:lang w:val="tr-TR" w:eastAsia="tr-TR"/>
        </w:rPr>
      </w:pPr>
      <w:r>
        <w:rPr>
          <w:rFonts w:ascii="Arial Narrow" w:hAnsi="Arial Narrow" w:cs="Arial"/>
          <w:lang w:val="tr-TR" w:eastAsia="tr-TR"/>
        </w:rPr>
        <w:t>Bir kamu görevlisini kalıcı şekilde kamu görevinden çıkarma, başkaca benzer meslekleri icra etmeyi yasaklama, sağlık güvencesinden mahrum bırakma ve zorunlu katkı payı ödeyerek zamanında emeklilik haklarını elde etmeyi engelleme mülkiyet hakkına açık ve haksız bir müdahaledir. Meslekten ihraç kararının verildiği tarihten bu yana, yukarıda yer verilen haklarına haksız müdahale edilerek başvurucunun mülkiyet hakkı ihlal edilmiştir.</w:t>
      </w:r>
    </w:p>
    <w:p w:rsidR="00C17D6C" w:rsidRDefault="00C17D6C" w:rsidP="00C17D6C">
      <w:pPr>
        <w:keepNex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ind w:right="-1"/>
        <w:jc w:val="both"/>
        <w:rPr>
          <w:rFonts w:ascii="Arial Narrow" w:hAnsi="Arial Narrow" w:cs="Arial"/>
          <w:sz w:val="24"/>
          <w:szCs w:val="24"/>
          <w:lang w:eastAsia="tr-TR"/>
        </w:rPr>
      </w:pPr>
      <w:r>
        <w:rPr>
          <w:rFonts w:ascii="Arial Narrow" w:hAnsi="Arial Narrow" w:cs="Arial"/>
          <w:sz w:val="24"/>
          <w:szCs w:val="24"/>
          <w:lang w:eastAsia="tr-TR"/>
        </w:rPr>
        <w:tab/>
        <w:t xml:space="preserve">Yukarıda belirtilen hususların Başvuru Formuna ek olarak dikkate alınmasını talep </w:t>
      </w:r>
      <w:r>
        <w:rPr>
          <w:rFonts w:ascii="Arial Narrow" w:hAnsi="Arial Narrow" w:cs="Arial"/>
          <w:sz w:val="24"/>
          <w:szCs w:val="24"/>
          <w:highlight w:val="yellow"/>
          <w:lang w:eastAsia="tr-TR"/>
        </w:rPr>
        <w:t>ederim/ederiz</w:t>
      </w:r>
      <w:r>
        <w:rPr>
          <w:rFonts w:ascii="Arial Narrow" w:hAnsi="Arial Narrow" w:cs="Arial"/>
          <w:sz w:val="24"/>
          <w:szCs w:val="24"/>
          <w:lang w:eastAsia="tr-TR"/>
        </w:rPr>
        <w:t>. …/…/2021</w:t>
      </w:r>
      <w:r>
        <w:rPr>
          <w:rFonts w:ascii="Arial Narrow" w:hAnsi="Arial Narrow" w:cs="Arial"/>
          <w:sz w:val="24"/>
          <w:szCs w:val="24"/>
          <w:lang w:eastAsia="tr-TR"/>
        </w:rPr>
        <w:tab/>
      </w:r>
    </w:p>
    <w:p w:rsidR="00C17D6C" w:rsidRDefault="00C17D6C" w:rsidP="00C17D6C">
      <w:pPr>
        <w:keepNex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ind w:right="-1"/>
        <w:jc w:val="both"/>
        <w:rPr>
          <w:rFonts w:ascii="Arial Narrow" w:hAnsi="Arial Narrow" w:cs="Arial"/>
          <w:b/>
          <w:sz w:val="24"/>
          <w:szCs w:val="24"/>
          <w:lang w:eastAsia="tr-TR"/>
        </w:rPr>
      </w:pPr>
      <w:r>
        <w:rPr>
          <w:rFonts w:ascii="Arial Narrow" w:hAnsi="Arial Narrow" w:cs="Arial"/>
          <w:sz w:val="24"/>
          <w:szCs w:val="24"/>
          <w:lang w:eastAsia="tr-TR"/>
        </w:rPr>
        <w:tab/>
        <w:t xml:space="preserve">                    </w:t>
      </w:r>
      <w:r>
        <w:rPr>
          <w:rFonts w:ascii="Arial Narrow" w:hAnsi="Arial Narrow" w:cs="Arial"/>
          <w:sz w:val="24"/>
          <w:szCs w:val="24"/>
          <w:lang w:eastAsia="tr-TR"/>
        </w:rPr>
        <w:tab/>
      </w:r>
      <w:r>
        <w:rPr>
          <w:rFonts w:ascii="Arial Narrow" w:hAnsi="Arial Narrow" w:cs="Arial"/>
          <w:sz w:val="24"/>
          <w:szCs w:val="24"/>
          <w:lang w:eastAsia="tr-TR"/>
        </w:rPr>
        <w:tab/>
      </w:r>
      <w:r>
        <w:rPr>
          <w:rFonts w:ascii="Arial Narrow" w:hAnsi="Arial Narrow" w:cs="Arial"/>
          <w:sz w:val="24"/>
          <w:szCs w:val="24"/>
          <w:lang w:eastAsia="tr-TR"/>
        </w:rPr>
        <w:tab/>
      </w:r>
      <w:r>
        <w:rPr>
          <w:rFonts w:ascii="Arial Narrow" w:hAnsi="Arial Narrow" w:cs="Arial"/>
          <w:sz w:val="24"/>
          <w:szCs w:val="24"/>
          <w:lang w:eastAsia="tr-TR"/>
        </w:rPr>
        <w:tab/>
      </w:r>
      <w:r>
        <w:rPr>
          <w:rFonts w:ascii="Arial Narrow" w:hAnsi="Arial Narrow" w:cs="Arial"/>
          <w:sz w:val="24"/>
          <w:szCs w:val="24"/>
          <w:lang w:eastAsia="tr-TR"/>
        </w:rPr>
        <w:tab/>
      </w:r>
      <w:r>
        <w:rPr>
          <w:rFonts w:ascii="Arial Narrow" w:hAnsi="Arial Narrow" w:cs="Arial"/>
          <w:sz w:val="24"/>
          <w:szCs w:val="24"/>
          <w:lang w:eastAsia="tr-TR"/>
        </w:rPr>
        <w:tab/>
      </w:r>
      <w:r>
        <w:rPr>
          <w:rFonts w:ascii="Arial Narrow" w:hAnsi="Arial Narrow" w:cs="Arial"/>
          <w:sz w:val="24"/>
          <w:szCs w:val="24"/>
          <w:lang w:eastAsia="tr-TR"/>
        </w:rPr>
        <w:tab/>
      </w:r>
      <w:r>
        <w:rPr>
          <w:rFonts w:ascii="Arial Narrow" w:hAnsi="Arial Narrow" w:cs="Arial"/>
          <w:sz w:val="24"/>
          <w:szCs w:val="24"/>
          <w:lang w:eastAsia="tr-TR"/>
        </w:rPr>
        <w:tab/>
        <w:t xml:space="preserve">       </w:t>
      </w:r>
      <w:r>
        <w:rPr>
          <w:rFonts w:ascii="Arial Narrow" w:hAnsi="Arial Narrow" w:cs="Arial"/>
          <w:sz w:val="24"/>
          <w:szCs w:val="24"/>
          <w:lang w:eastAsia="tr-TR"/>
        </w:rPr>
        <w:tab/>
      </w:r>
      <w:r>
        <w:rPr>
          <w:rFonts w:ascii="Arial Narrow" w:hAnsi="Arial Narrow" w:cs="Arial"/>
          <w:sz w:val="24"/>
          <w:szCs w:val="24"/>
          <w:lang w:eastAsia="tr-TR"/>
        </w:rPr>
        <w:tab/>
      </w:r>
      <w:r>
        <w:rPr>
          <w:rFonts w:ascii="Arial Narrow" w:hAnsi="Arial Narrow" w:cs="Arial"/>
          <w:b/>
          <w:sz w:val="24"/>
          <w:szCs w:val="24"/>
          <w:lang w:eastAsia="tr-TR"/>
        </w:rPr>
        <w:tab/>
        <w:t xml:space="preserve">  (İMZA) </w:t>
      </w:r>
    </w:p>
    <w:p w:rsidR="00C17D6C" w:rsidRDefault="00C17D6C" w:rsidP="00C17D6C">
      <w:pPr>
        <w:pStyle w:val="ListeParagraf"/>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before="0" w:beforeAutospacing="0" w:after="0" w:afterAutospacing="0"/>
        <w:ind w:left="480" w:right="-1"/>
        <w:contextualSpacing/>
        <w:jc w:val="both"/>
        <w:outlineLvl w:val="0"/>
        <w:rPr>
          <w:rFonts w:ascii="Arial Narrow" w:hAnsi="Arial Narrow" w:cs="Arial"/>
          <w:b/>
          <w:bCs/>
          <w:lang w:val="tr-TR" w:eastAsia="tr-TR"/>
        </w:rPr>
      </w:pPr>
      <w:r>
        <w:rPr>
          <w:rFonts w:ascii="Arial Narrow" w:hAnsi="Arial Narrow" w:cs="Arial"/>
          <w:lang w:val="tr-TR" w:eastAsia="tr-TR"/>
        </w:rPr>
        <w:tab/>
      </w:r>
      <w:r>
        <w:rPr>
          <w:rFonts w:ascii="Arial Narrow" w:hAnsi="Arial Narrow" w:cs="Arial"/>
          <w:lang w:val="tr-TR" w:eastAsia="tr-TR"/>
        </w:rPr>
        <w:tab/>
      </w:r>
      <w:r>
        <w:rPr>
          <w:rFonts w:ascii="Arial Narrow" w:hAnsi="Arial Narrow" w:cs="Arial"/>
          <w:lang w:val="tr-TR" w:eastAsia="tr-TR"/>
        </w:rPr>
        <w:tab/>
      </w:r>
      <w:r>
        <w:rPr>
          <w:rFonts w:ascii="Arial Narrow" w:hAnsi="Arial Narrow" w:cs="Arial"/>
          <w:lang w:val="tr-TR" w:eastAsia="tr-TR"/>
        </w:rPr>
        <w:tab/>
      </w:r>
      <w:r>
        <w:rPr>
          <w:rFonts w:ascii="Arial Narrow" w:hAnsi="Arial Narrow" w:cs="Arial"/>
          <w:lang w:val="tr-TR" w:eastAsia="tr-TR"/>
        </w:rPr>
        <w:tab/>
      </w:r>
      <w:r>
        <w:rPr>
          <w:rFonts w:ascii="Arial Narrow" w:hAnsi="Arial Narrow" w:cs="Arial"/>
          <w:lang w:val="tr-TR" w:eastAsia="tr-TR"/>
        </w:rPr>
        <w:tab/>
      </w:r>
      <w:r>
        <w:rPr>
          <w:rFonts w:ascii="Arial Narrow" w:hAnsi="Arial Narrow" w:cs="Arial"/>
          <w:lang w:val="tr-TR" w:eastAsia="tr-TR"/>
        </w:rPr>
        <w:tab/>
      </w:r>
      <w:r>
        <w:rPr>
          <w:rFonts w:ascii="Arial Narrow" w:hAnsi="Arial Narrow" w:cs="Arial"/>
          <w:lang w:val="tr-TR" w:eastAsia="tr-TR"/>
        </w:rPr>
        <w:tab/>
      </w:r>
      <w:r>
        <w:rPr>
          <w:rFonts w:ascii="Arial Narrow" w:hAnsi="Arial Narrow" w:cs="Arial"/>
          <w:lang w:val="tr-TR" w:eastAsia="tr-TR"/>
        </w:rPr>
        <w:tab/>
        <w:t xml:space="preserve"> </w:t>
      </w:r>
      <w:r>
        <w:rPr>
          <w:rFonts w:ascii="Arial Narrow" w:hAnsi="Arial Narrow" w:cs="Arial"/>
          <w:b/>
          <w:bCs/>
          <w:highlight w:val="yellow"/>
          <w:lang w:val="tr-TR" w:eastAsia="tr-TR"/>
        </w:rPr>
        <w:t>Başvurucu Ad Soyad/Başvurucu adına temsilcisi Av.</w:t>
      </w:r>
      <w:r>
        <w:rPr>
          <w:rFonts w:ascii="Arial Narrow" w:hAnsi="Arial Narrow" w:cs="Arial"/>
          <w:b/>
          <w:bCs/>
          <w:lang w:val="tr-TR" w:eastAsia="tr-TR"/>
        </w:rPr>
        <w:t xml:space="preserve"> </w:t>
      </w:r>
    </w:p>
    <w:p w:rsidR="00C17D6C" w:rsidRDefault="00C17D6C" w:rsidP="00C17D6C">
      <w:pPr>
        <w:pStyle w:val="ListeParagraf"/>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before="0" w:beforeAutospacing="0" w:after="0" w:afterAutospacing="0"/>
        <w:ind w:left="480" w:right="-1"/>
        <w:contextualSpacing/>
        <w:jc w:val="both"/>
        <w:outlineLvl w:val="0"/>
        <w:rPr>
          <w:rFonts w:ascii="Arial Narrow" w:hAnsi="Arial Narrow" w:cs="Arial"/>
          <w:b/>
          <w:bCs/>
          <w:color w:val="FF0000"/>
          <w:u w:val="single"/>
          <w:lang w:val="tr-TR" w:eastAsia="tr-TR"/>
        </w:rPr>
      </w:pPr>
    </w:p>
    <w:p w:rsidR="00C17D6C" w:rsidRDefault="00C17D6C" w:rsidP="00C17D6C">
      <w:pPr>
        <w:pStyle w:val="ListeParagraf"/>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before="0" w:beforeAutospacing="0" w:after="0" w:afterAutospacing="0"/>
        <w:ind w:left="480" w:right="-1"/>
        <w:contextualSpacing/>
        <w:jc w:val="both"/>
        <w:outlineLvl w:val="0"/>
        <w:rPr>
          <w:rFonts w:ascii="Arial Narrow" w:hAnsi="Arial Narrow" w:cs="Arial"/>
          <w:color w:val="FF0000"/>
          <w:lang w:val="tr-TR" w:eastAsia="tr-TR"/>
        </w:rPr>
      </w:pPr>
      <w:r>
        <w:rPr>
          <w:rFonts w:ascii="Arial Narrow" w:hAnsi="Arial Narrow" w:cs="Arial"/>
          <w:b/>
          <w:bCs/>
          <w:color w:val="FF0000"/>
          <w:u w:val="single"/>
          <w:lang w:val="tr-TR" w:eastAsia="tr-TR"/>
        </w:rPr>
        <w:t>NOT:</w:t>
      </w:r>
      <w:r>
        <w:rPr>
          <w:rFonts w:ascii="Arial Narrow" w:hAnsi="Arial Narrow" w:cs="Arial"/>
          <w:color w:val="FF0000"/>
          <w:lang w:val="tr-TR" w:eastAsia="tr-TR"/>
        </w:rPr>
        <w:t xml:space="preserve"> </w:t>
      </w:r>
      <w:r>
        <w:rPr>
          <w:rFonts w:ascii="Arial Narrow" w:hAnsi="Arial Narrow" w:cs="Arial"/>
          <w:color w:val="FF0000"/>
          <w:highlight w:val="yellow"/>
          <w:u w:val="single"/>
          <w:lang w:val="tr-TR" w:eastAsia="tr-TR"/>
        </w:rPr>
        <w:t>Sarıya boyalı yerleri ve paragrafları kendinize uyarlayınız; sizinle ilgili olmayan hususları çıkarıp, sizinle ilgili olmasına rağmen yazılmamış olanları da ekleyiniz.</w:t>
      </w:r>
    </w:p>
    <w:p w:rsidR="003D7D34" w:rsidRDefault="0065365B"/>
    <w:sectPr w:rsidR="003D7D34" w:rsidSect="004625E1">
      <w:pgSz w:w="11906" w:h="16838"/>
      <w:pgMar w:top="1077" w:right="1077" w:bottom="1077" w:left="1077"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65365B" w:rsidRDefault="0065365B" w:rsidP="00C17D6C">
      <w:pPr>
        <w:spacing w:after="0" w:line="240" w:lineRule="auto"/>
      </w:pPr>
      <w:r>
        <w:separator/>
      </w:r>
    </w:p>
  </w:endnote>
  <w:endnote w:type="continuationSeparator" w:id="1">
    <w:p w:rsidR="0065365B" w:rsidRDefault="0065365B" w:rsidP="00C17D6C">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Arial Narrow">
    <w:panose1 w:val="020B0606020202030204"/>
    <w:charset w:val="00"/>
    <w:family w:val="swiss"/>
    <w:pitch w:val="variable"/>
    <w:sig w:usb0="00000287" w:usb1="00000800"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65365B" w:rsidRDefault="0065365B" w:rsidP="00C17D6C">
      <w:pPr>
        <w:spacing w:after="0" w:line="240" w:lineRule="auto"/>
      </w:pPr>
      <w:r>
        <w:separator/>
      </w:r>
    </w:p>
  </w:footnote>
  <w:footnote w:type="continuationSeparator" w:id="1">
    <w:p w:rsidR="0065365B" w:rsidRDefault="0065365B" w:rsidP="00C17D6C">
      <w:pPr>
        <w:spacing w:after="0" w:line="240" w:lineRule="auto"/>
      </w:pPr>
      <w:r>
        <w:continuationSeparator/>
      </w:r>
    </w:p>
  </w:footnote>
  <w:footnote w:id="2">
    <w:p w:rsidR="00C17D6C" w:rsidRDefault="00C17D6C" w:rsidP="00C17D6C">
      <w:pPr>
        <w:pStyle w:val="DipnotMetni"/>
        <w:ind w:left="567" w:hanging="567"/>
        <w:rPr>
          <w:rFonts w:ascii="Arial Narrow" w:hAnsi="Arial Narrow" w:cs="Arial"/>
        </w:rPr>
      </w:pPr>
      <w:r>
        <w:rPr>
          <w:rStyle w:val="DipnotBavurusu"/>
          <w:rFonts w:ascii="Arial Narrow" w:hAnsi="Arial Narrow" w:cs="Arial"/>
        </w:rPr>
        <w:footnoteRef/>
      </w:r>
      <w:r>
        <w:rPr>
          <w:rFonts w:ascii="Arial Narrow" w:hAnsi="Arial Narrow" w:cs="Arial"/>
        </w:rPr>
        <w:t xml:space="preserve"> </w:t>
      </w:r>
      <w:r>
        <w:rPr>
          <w:rFonts w:ascii="Arial Narrow" w:hAnsi="Arial Narrow" w:cs="Arial"/>
        </w:rPr>
        <w:tab/>
        <w:t>Serap Yazıcı, OHAL Kararnameleri: Kamu Görevinden İhraçlar ve Yol Açtıkları Hukuka Aykırılık Sorunları, Prof. Dr. Metin Günday Armağanı, Cilt 2, Atılım Üniversitesi, Ankara, 2020, s. 1502.</w:t>
      </w:r>
    </w:p>
  </w:footnote>
  <w:footnote w:id="3">
    <w:p w:rsidR="00C17D6C" w:rsidRDefault="00C17D6C" w:rsidP="00C17D6C">
      <w:pPr>
        <w:pStyle w:val="DipnotMetni"/>
        <w:ind w:left="567" w:hanging="567"/>
        <w:jc w:val="both"/>
        <w:rPr>
          <w:rFonts w:ascii="Arial Narrow" w:hAnsi="Arial Narrow" w:cs="Arial"/>
        </w:rPr>
      </w:pPr>
      <w:r>
        <w:rPr>
          <w:rStyle w:val="DipnotBavurusu"/>
          <w:rFonts w:ascii="Arial Narrow" w:hAnsi="Arial Narrow" w:cs="Arial"/>
        </w:rPr>
        <w:footnoteRef/>
      </w:r>
      <w:r>
        <w:rPr>
          <w:rStyle w:val="DipnotBavurusu"/>
          <w:rFonts w:ascii="Arial Narrow" w:hAnsi="Arial Narrow" w:cs="Arial"/>
        </w:rPr>
        <w:t xml:space="preserve"> </w:t>
      </w:r>
      <w:r>
        <w:rPr>
          <w:rFonts w:ascii="Arial Narrow" w:hAnsi="Arial Narrow" w:cs="Arial"/>
        </w:rPr>
        <w:tab/>
        <w:t>Yazıcı s.1536</w:t>
      </w:r>
    </w:p>
  </w:footnote>
  <w:footnote w:id="4">
    <w:p w:rsidR="00C17D6C" w:rsidRDefault="00C17D6C" w:rsidP="00C17D6C">
      <w:pPr>
        <w:pStyle w:val="DipnotMetni"/>
        <w:ind w:left="567" w:hanging="567"/>
        <w:jc w:val="both"/>
        <w:rPr>
          <w:rFonts w:ascii="Arial Narrow" w:hAnsi="Arial Narrow" w:cs="Arial"/>
          <w:lang w:val="en-US"/>
        </w:rPr>
      </w:pPr>
      <w:r>
        <w:rPr>
          <w:rStyle w:val="DipnotBavurusu"/>
          <w:rFonts w:ascii="Arial Narrow" w:hAnsi="Arial Narrow" w:cs="Arial"/>
        </w:rPr>
        <w:footnoteRef/>
      </w:r>
      <w:r>
        <w:rPr>
          <w:rFonts w:ascii="Arial Narrow" w:hAnsi="Arial Narrow" w:cs="Arial"/>
          <w:lang w:val="en-US"/>
        </w:rPr>
        <w:t xml:space="preserve"> </w:t>
      </w:r>
      <w:r>
        <w:rPr>
          <w:rFonts w:ascii="Arial Narrow" w:hAnsi="Arial Narrow" w:cs="Arial"/>
          <w:lang w:val="en-US"/>
        </w:rPr>
        <w:tab/>
      </w:r>
      <w:r>
        <w:rPr>
          <w:rFonts w:ascii="Arial Narrow" w:hAnsi="Arial Narrow" w:cs="Arial"/>
        </w:rPr>
        <w:t>European Commission for Democracy Through Law (Venice Commission), Opinion on Emergency Decree Laws Nos. 667-676 Adopted Following the Failed Coup of 15 July 2016, Adopted by the Venice Commission at its 109th Plenary Session (Venice, 9-10 December 2016 (Venice, 9-10 December 2016), (par. 133, 134, 140), Strasbourg, 12 December 2016</w:t>
      </w:r>
      <w:r>
        <w:rPr>
          <w:rFonts w:ascii="Arial Narrow" w:hAnsi="Arial Narrow" w:cs="Arial"/>
          <w:lang w:val="en-US"/>
        </w:rPr>
        <w:t>.</w:t>
      </w:r>
    </w:p>
  </w:footnote>
  <w:footnote w:id="5">
    <w:p w:rsidR="00C17D6C" w:rsidRDefault="00C17D6C" w:rsidP="00C17D6C">
      <w:pPr>
        <w:pStyle w:val="DipnotMetni"/>
        <w:ind w:left="567" w:hanging="567"/>
        <w:rPr>
          <w:rFonts w:ascii="Arial Narrow" w:hAnsi="Arial Narrow" w:cs="Arial"/>
        </w:rPr>
      </w:pPr>
      <w:r>
        <w:rPr>
          <w:rStyle w:val="DipnotBavurusu"/>
          <w:rFonts w:ascii="Arial Narrow" w:hAnsi="Arial Narrow" w:cs="Arial"/>
        </w:rPr>
        <w:footnoteRef/>
      </w:r>
      <w:r>
        <w:rPr>
          <w:rFonts w:ascii="Arial Narrow" w:hAnsi="Arial Narrow" w:cs="Arial"/>
        </w:rPr>
        <w:t xml:space="preserve"> </w:t>
      </w:r>
      <w:r>
        <w:rPr>
          <w:rFonts w:ascii="Arial Narrow" w:hAnsi="Arial Narrow" w:cs="Arial"/>
        </w:rPr>
        <w:tab/>
        <w:t>Yazıcı, s. 1503.</w:t>
      </w:r>
    </w:p>
  </w:footnote>
  <w:footnote w:id="6">
    <w:p w:rsidR="00C17D6C" w:rsidRDefault="00C17D6C" w:rsidP="00C17D6C">
      <w:pPr>
        <w:pStyle w:val="DipnotMetni"/>
        <w:ind w:left="567" w:hanging="567"/>
        <w:rPr>
          <w:rFonts w:ascii="Arial Narrow" w:hAnsi="Arial Narrow" w:cs="Arial"/>
        </w:rPr>
      </w:pPr>
      <w:r>
        <w:rPr>
          <w:rStyle w:val="DipnotBavurusu"/>
          <w:rFonts w:ascii="Arial Narrow" w:hAnsi="Arial Narrow" w:cs="Arial"/>
        </w:rPr>
        <w:footnoteRef/>
      </w:r>
      <w:r>
        <w:rPr>
          <w:rFonts w:ascii="Arial Narrow" w:hAnsi="Arial Narrow" w:cs="Arial"/>
        </w:rPr>
        <w:t xml:space="preserve"> </w:t>
      </w:r>
      <w:r>
        <w:rPr>
          <w:rFonts w:ascii="Arial Narrow" w:hAnsi="Arial Narrow" w:cs="Arial"/>
        </w:rPr>
        <w:tab/>
        <w:t>Anayasa Mahkemesi, 12/4/2017 T., 2016/140 E., 2017/92 K.</w:t>
      </w:r>
    </w:p>
  </w:footnote>
  <w:footnote w:id="7">
    <w:p w:rsidR="00C17D6C" w:rsidRDefault="00C17D6C" w:rsidP="00C17D6C">
      <w:pPr>
        <w:pStyle w:val="DipnotMetni"/>
        <w:ind w:left="567" w:hanging="567"/>
        <w:rPr>
          <w:rFonts w:ascii="Arial Narrow" w:hAnsi="Arial Narrow" w:cs="Arial"/>
        </w:rPr>
      </w:pPr>
      <w:r>
        <w:rPr>
          <w:rStyle w:val="DipnotBavurusu"/>
          <w:rFonts w:ascii="Arial Narrow" w:hAnsi="Arial Narrow" w:cs="Arial"/>
        </w:rPr>
        <w:footnoteRef/>
      </w:r>
      <w:r>
        <w:rPr>
          <w:rFonts w:ascii="Arial Narrow" w:hAnsi="Arial Narrow" w:cs="Arial"/>
        </w:rPr>
        <w:t xml:space="preserve"> </w:t>
      </w:r>
      <w:r>
        <w:rPr>
          <w:rFonts w:ascii="Arial Narrow" w:hAnsi="Arial Narrow" w:cs="Arial"/>
        </w:rPr>
        <w:tab/>
        <w:t>Yazıcı, 1522.</w:t>
      </w:r>
    </w:p>
  </w:footnote>
  <w:footnote w:id="8">
    <w:p w:rsidR="00C17D6C" w:rsidRDefault="00C17D6C" w:rsidP="00C17D6C">
      <w:pPr>
        <w:pStyle w:val="DipnotMetni"/>
        <w:ind w:left="567" w:hanging="567"/>
        <w:rPr>
          <w:rFonts w:ascii="Arial Narrow" w:hAnsi="Arial Narrow" w:cs="Arial"/>
        </w:rPr>
      </w:pPr>
      <w:r>
        <w:rPr>
          <w:rStyle w:val="DipnotBavurusu"/>
          <w:rFonts w:ascii="Arial Narrow" w:hAnsi="Arial Narrow" w:cs="Arial"/>
        </w:rPr>
        <w:footnoteRef/>
      </w:r>
      <w:r>
        <w:rPr>
          <w:rFonts w:ascii="Arial Narrow" w:hAnsi="Arial Narrow" w:cs="Arial"/>
        </w:rPr>
        <w:t xml:space="preserve"> </w:t>
      </w:r>
      <w:r>
        <w:rPr>
          <w:rFonts w:ascii="Arial Narrow" w:hAnsi="Arial Narrow" w:cs="Arial"/>
        </w:rPr>
        <w:tab/>
        <w:t>Anayasa Mahkemesi, 10/01/1991 T., 1990/25 E., 1991/1 K.</w:t>
      </w:r>
    </w:p>
  </w:footnote>
  <w:footnote w:id="9">
    <w:p w:rsidR="00C17D6C" w:rsidRDefault="00C17D6C" w:rsidP="00C17D6C">
      <w:pPr>
        <w:pStyle w:val="DipnotMetni"/>
        <w:ind w:left="567" w:hanging="567"/>
        <w:rPr>
          <w:rFonts w:ascii="Arial Narrow" w:hAnsi="Arial Narrow" w:cs="Arial"/>
        </w:rPr>
      </w:pPr>
      <w:r>
        <w:rPr>
          <w:rStyle w:val="DipnotBavurusu"/>
          <w:rFonts w:ascii="Arial Narrow" w:hAnsi="Arial Narrow" w:cs="Arial"/>
        </w:rPr>
        <w:footnoteRef/>
      </w:r>
      <w:r>
        <w:rPr>
          <w:rFonts w:ascii="Arial Narrow" w:hAnsi="Arial Narrow" w:cs="Arial"/>
        </w:rPr>
        <w:t xml:space="preserve"> </w:t>
      </w:r>
      <w:r>
        <w:rPr>
          <w:rFonts w:ascii="Arial Narrow" w:hAnsi="Arial Narrow" w:cs="Arial"/>
        </w:rPr>
        <w:tab/>
        <w:t>Anayasa Mahkemesi, 12/10/2016 T., 2016/166 E., 2016/159 K.</w:t>
      </w:r>
    </w:p>
  </w:footnote>
  <w:footnote w:id="10">
    <w:p w:rsidR="00C17D6C" w:rsidRDefault="00C17D6C" w:rsidP="00C17D6C">
      <w:pPr>
        <w:pStyle w:val="DipnotMetni"/>
        <w:ind w:left="567" w:hanging="567"/>
        <w:rPr>
          <w:rFonts w:ascii="Arial Narrow" w:hAnsi="Arial Narrow" w:cs="Arial"/>
        </w:rPr>
      </w:pPr>
      <w:r>
        <w:rPr>
          <w:rStyle w:val="DipnotBavurusu"/>
          <w:rFonts w:ascii="Arial Narrow" w:hAnsi="Arial Narrow" w:cs="Arial"/>
        </w:rPr>
        <w:footnoteRef/>
      </w:r>
      <w:r>
        <w:rPr>
          <w:rFonts w:ascii="Arial Narrow" w:hAnsi="Arial Narrow" w:cs="Arial"/>
        </w:rPr>
        <w:t xml:space="preserve"> </w:t>
      </w:r>
      <w:r>
        <w:rPr>
          <w:rFonts w:ascii="Arial Narrow" w:hAnsi="Arial Narrow" w:cs="Arial"/>
        </w:rPr>
        <w:tab/>
        <w:t>Anayasa Mahkemesi, 29/3/2017 T., 2017/14 E., 2017/83 K.</w:t>
      </w:r>
    </w:p>
  </w:footnote>
  <w:footnote w:id="11">
    <w:p w:rsidR="00C17D6C" w:rsidRDefault="00C17D6C" w:rsidP="00C17D6C">
      <w:pPr>
        <w:pStyle w:val="DipnotMetni"/>
        <w:ind w:left="567" w:hanging="567"/>
        <w:rPr>
          <w:rFonts w:ascii="Arial Narrow" w:hAnsi="Arial Narrow" w:cs="Arial"/>
        </w:rPr>
      </w:pPr>
      <w:r>
        <w:rPr>
          <w:rStyle w:val="DipnotBavurusu"/>
          <w:rFonts w:ascii="Arial Narrow" w:hAnsi="Arial Narrow" w:cs="Arial"/>
        </w:rPr>
        <w:footnoteRef/>
      </w:r>
      <w:r>
        <w:rPr>
          <w:rFonts w:ascii="Arial Narrow" w:hAnsi="Arial Narrow" w:cs="Arial"/>
        </w:rPr>
        <w:t xml:space="preserve"> </w:t>
      </w:r>
      <w:r>
        <w:rPr>
          <w:rFonts w:ascii="Arial Narrow" w:hAnsi="Arial Narrow" w:cs="Arial"/>
        </w:rPr>
        <w:tab/>
        <w:t>Yazıcı, 1525.</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4801128D"/>
    <w:multiLevelType w:val="multilevel"/>
    <w:tmpl w:val="B63EE872"/>
    <w:lvl w:ilvl="0">
      <w:start w:val="1"/>
      <w:numFmt w:val="decimal"/>
      <w:lvlText w:val="%1."/>
      <w:lvlJc w:val="left"/>
      <w:pPr>
        <w:ind w:left="480" w:hanging="480"/>
      </w:pPr>
      <w:rPr>
        <w:rFonts w:ascii="Arial Narrow" w:hAnsi="Arial Narrow" w:hint="default"/>
        <w:b/>
        <w:sz w:val="24"/>
        <w:szCs w:val="24"/>
      </w:rPr>
    </w:lvl>
    <w:lvl w:ilvl="1">
      <w:start w:val="1"/>
      <w:numFmt w:val="decimal"/>
      <w:lvlText w:val="%1.%2."/>
      <w:lvlJc w:val="left"/>
      <w:pPr>
        <w:ind w:left="720" w:hanging="720"/>
      </w:pPr>
    </w:lvl>
    <w:lvl w:ilvl="2">
      <w:start w:val="1"/>
      <w:numFmt w:val="decimal"/>
      <w:lvlText w:val="%1.%2.%3."/>
      <w:lvlJc w:val="left"/>
      <w:pPr>
        <w:ind w:left="720" w:hanging="720"/>
      </w:pPr>
    </w:lvl>
    <w:lvl w:ilvl="3">
      <w:start w:val="1"/>
      <w:numFmt w:val="decimal"/>
      <w:lvlText w:val="%1.%2.%3.%4."/>
      <w:lvlJc w:val="left"/>
      <w:pPr>
        <w:ind w:left="1080"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440" w:hanging="1440"/>
      </w:pPr>
    </w:lvl>
    <w:lvl w:ilvl="7">
      <w:start w:val="1"/>
      <w:numFmt w:val="decimal"/>
      <w:lvlText w:val="%1.%2.%3.%4.%5.%6.%7.%8."/>
      <w:lvlJc w:val="left"/>
      <w:pPr>
        <w:ind w:left="1800" w:hanging="1800"/>
      </w:pPr>
    </w:lvl>
    <w:lvl w:ilvl="8">
      <w:start w:val="1"/>
      <w:numFmt w:val="decimal"/>
      <w:lvlText w:val="%1.%2.%3.%4.%5.%6.%7.%8.%9."/>
      <w:lvlJc w:val="left"/>
      <w:pPr>
        <w:ind w:left="1800" w:hanging="180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oNotDisplayPageBoundaries/>
  <w:defaultTabStop w:val="708"/>
  <w:hyphenationZone w:val="425"/>
  <w:characterSpacingControl w:val="doNotCompress"/>
  <w:footnotePr>
    <w:footnote w:id="0"/>
    <w:footnote w:id="1"/>
  </w:footnotePr>
  <w:endnotePr>
    <w:endnote w:id="0"/>
    <w:endnote w:id="1"/>
  </w:endnotePr>
  <w:compat/>
  <w:rsids>
    <w:rsidRoot w:val="00C17D6C"/>
    <w:rsid w:val="001F4BD0"/>
    <w:rsid w:val="004625E1"/>
    <w:rsid w:val="0047695A"/>
    <w:rsid w:val="004B21AC"/>
    <w:rsid w:val="005B188B"/>
    <w:rsid w:val="0065365B"/>
    <w:rsid w:val="00C17D6C"/>
    <w:rsid w:val="00C362BD"/>
    <w:rsid w:val="00E045A6"/>
    <w:rsid w:val="00EA1A7B"/>
  </w:rsids>
  <m:mathPr>
    <m:mathFont m:val="Cambria Math"/>
    <m:brkBin m:val="before"/>
    <m:brkBinSub m:val="--"/>
    <m:smallFrac/>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de-DE"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17D6C"/>
    <w:rPr>
      <w:lang w:val="tr-TR"/>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qFormat/>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DipnotMetni">
    <w:name w:val="footnote text"/>
    <w:basedOn w:val="Normal"/>
    <w:link w:val="DipnotMetniChar"/>
    <w:uiPriority w:val="99"/>
    <w:semiHidden/>
    <w:unhideWhenUsed/>
    <w:rsid w:val="00C17D6C"/>
    <w:pPr>
      <w:spacing w:after="0" w:line="240" w:lineRule="auto"/>
    </w:pPr>
    <w:rPr>
      <w:sz w:val="20"/>
      <w:szCs w:val="20"/>
    </w:rPr>
  </w:style>
  <w:style w:type="character" w:customStyle="1" w:styleId="DipnotMetniChar">
    <w:name w:val="Dipnot Metni Char"/>
    <w:basedOn w:val="VarsaylanParagrafYazTipi"/>
    <w:link w:val="DipnotMetni"/>
    <w:uiPriority w:val="99"/>
    <w:semiHidden/>
    <w:rsid w:val="00C17D6C"/>
    <w:rPr>
      <w:sz w:val="20"/>
      <w:szCs w:val="20"/>
      <w:lang w:val="tr-TR"/>
    </w:rPr>
  </w:style>
  <w:style w:type="character" w:styleId="DipnotBavurusu">
    <w:name w:val="footnote reference"/>
    <w:basedOn w:val="VarsaylanParagrafYazTipi"/>
    <w:uiPriority w:val="99"/>
    <w:semiHidden/>
    <w:unhideWhenUsed/>
    <w:rsid w:val="00C17D6C"/>
    <w:rPr>
      <w:vertAlign w:val="superscript"/>
    </w:rPr>
  </w:style>
  <w:style w:type="character" w:customStyle="1" w:styleId="spelle">
    <w:name w:val="spelle"/>
    <w:basedOn w:val="VarsaylanParagrafYazTipi"/>
    <w:rsid w:val="00C17D6C"/>
  </w:style>
  <w:style w:type="paragraph" w:styleId="ListeParagraf">
    <w:name w:val="List Paragraph"/>
    <w:basedOn w:val="Normal"/>
    <w:uiPriority w:val="34"/>
    <w:qFormat/>
    <w:rsid w:val="00C17D6C"/>
    <w:pPr>
      <w:spacing w:before="100" w:beforeAutospacing="1" w:after="100" w:afterAutospacing="1" w:line="240" w:lineRule="auto"/>
    </w:pPr>
    <w:rPr>
      <w:rFonts w:ascii="Times New Roman" w:eastAsia="Times New Roman" w:hAnsi="Times New Roman" w:cs="Times New Roman"/>
      <w:sz w:val="24"/>
      <w:szCs w:val="24"/>
      <w:lang w:val="de-DE" w:eastAsia="de-DE"/>
    </w:rPr>
  </w:style>
  <w:style w:type="character" w:styleId="Kpr">
    <w:name w:val="Hyperlink"/>
    <w:basedOn w:val="VarsaylanParagrafYazTipi"/>
    <w:uiPriority w:val="99"/>
    <w:semiHidden/>
    <w:unhideWhenUsed/>
    <w:rsid w:val="00C17D6C"/>
    <w:rPr>
      <w:color w:val="0000FF"/>
      <w:u w:val="single"/>
    </w:rPr>
  </w:style>
  <w:style w:type="character" w:customStyle="1" w:styleId="dipnotkarakterleri">
    <w:name w:val="dipnotkarakterleri"/>
    <w:basedOn w:val="VarsaylanParagrafYazTipi"/>
    <w:rsid w:val="00C17D6C"/>
  </w:style>
</w:styles>
</file>

<file path=word/webSettings.xml><?xml version="1.0" encoding="utf-8"?>
<w:webSettings xmlns:r="http://schemas.openxmlformats.org/officeDocument/2006/relationships" xmlns:w="http://schemas.openxmlformats.org/wordprocessingml/2006/main">
  <w:divs>
    <w:div w:id="13997844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hudoc.echr.coe.int/eng"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10</Pages>
  <Words>6832</Words>
  <Characters>43045</Characters>
  <Application>Microsoft Office Word</Application>
  <DocSecurity>0</DocSecurity>
  <Lines>358</Lines>
  <Paragraphs>99</Paragraphs>
  <ScaleCrop>false</ScaleCrop>
  <Company/>
  <LinksUpToDate>false</LinksUpToDate>
  <CharactersWithSpaces>49778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Windows-Benutzer</dc:creator>
  <cp:lastModifiedBy>Windows-Benutzer</cp:lastModifiedBy>
  <cp:revision>3</cp:revision>
  <dcterms:created xsi:type="dcterms:W3CDTF">2021-08-11T16:29:00Z</dcterms:created>
  <dcterms:modified xsi:type="dcterms:W3CDTF">2021-08-11T16:29:00Z</dcterms:modified>
</cp:coreProperties>
</file>