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7486" w14:textId="77777777" w:rsidR="00936167" w:rsidRPr="00A40242" w:rsidRDefault="00936167" w:rsidP="00936167">
      <w:pPr>
        <w:pStyle w:val="Balk1"/>
        <w:spacing w:before="120" w:after="120" w:line="240" w:lineRule="auto"/>
        <w:jc w:val="center"/>
        <w:rPr>
          <w:rFonts w:cstheme="minorHAnsi"/>
          <w:color w:val="auto"/>
          <w:sz w:val="21"/>
          <w:szCs w:val="21"/>
        </w:rPr>
      </w:pPr>
      <w:bookmarkStart w:id="0" w:name="_Toc7451318"/>
      <w:r w:rsidRPr="00A40242">
        <w:rPr>
          <w:rFonts w:cstheme="minorHAnsi"/>
          <w:color w:val="auto"/>
          <w:sz w:val="21"/>
          <w:szCs w:val="21"/>
        </w:rPr>
        <w:t>HÂKİM VE SAVCILARIN MESLEKTEN ÇIKARILMALARINA İNSAN HAKLARI PERSPEKTİFİNDEN BİR BAKIŞ</w:t>
      </w:r>
      <w:bookmarkEnd w:id="0"/>
    </w:p>
    <w:p w14:paraId="5BEA021C" w14:textId="77777777" w:rsidR="00936167" w:rsidRPr="00A40242" w:rsidRDefault="00936167" w:rsidP="00936167">
      <w:pPr>
        <w:spacing w:before="120" w:after="120" w:line="240" w:lineRule="auto"/>
        <w:ind w:firstLine="567"/>
        <w:jc w:val="center"/>
        <w:rPr>
          <w:rFonts w:ascii="Palatino Linotype" w:hAnsi="Palatino Linotype" w:cstheme="minorHAnsi"/>
          <w:sz w:val="21"/>
          <w:szCs w:val="21"/>
        </w:rPr>
      </w:pPr>
    </w:p>
    <w:p w14:paraId="3B5FC650" w14:textId="77777777" w:rsidR="00936167" w:rsidRPr="00A40242" w:rsidRDefault="00936167" w:rsidP="00936167">
      <w:pPr>
        <w:pStyle w:val="Balk1"/>
        <w:numPr>
          <w:ilvl w:val="0"/>
          <w:numId w:val="39"/>
        </w:numPr>
        <w:spacing w:before="120" w:after="120" w:line="240" w:lineRule="auto"/>
        <w:ind w:left="993" w:hanging="426"/>
        <w:rPr>
          <w:rFonts w:cstheme="minorHAnsi"/>
          <w:color w:val="auto"/>
          <w:sz w:val="21"/>
          <w:szCs w:val="21"/>
        </w:rPr>
      </w:pPr>
      <w:bookmarkStart w:id="1" w:name="_Toc7451319"/>
      <w:r w:rsidRPr="00A40242">
        <w:rPr>
          <w:rFonts w:cstheme="minorHAnsi"/>
          <w:color w:val="auto"/>
          <w:sz w:val="21"/>
          <w:szCs w:val="21"/>
        </w:rPr>
        <w:t>GENEL OLARAK</w:t>
      </w:r>
      <w:bookmarkEnd w:id="1"/>
    </w:p>
    <w:p w14:paraId="6447B23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b/>
        <w:t>15/7/2016 tarihinde gerçekleştirilen darbe teşebbüsünün ardından (eski) Hâkimler Savcılar Yüksek Kurulu (HSYK) Genel Kurulu, 667 sayılı Olağanüstü Hal Kapsamında Alınan Tedbirlere İlişkin Kanun Hükmünde Kararname'nin</w:t>
      </w:r>
      <w:r w:rsidRPr="00A40242">
        <w:rPr>
          <w:rStyle w:val="DipnotBavurusu"/>
          <w:rFonts w:ascii="Palatino Linotype" w:hAnsi="Palatino Linotype" w:cstheme="minorHAnsi"/>
          <w:sz w:val="21"/>
          <w:szCs w:val="21"/>
        </w:rPr>
        <w:footnoteReference w:id="1"/>
      </w:r>
      <w:r w:rsidRPr="00A40242">
        <w:rPr>
          <w:rFonts w:ascii="Palatino Linotype" w:hAnsi="Palatino Linotype" w:cstheme="minorHAnsi"/>
          <w:sz w:val="21"/>
          <w:szCs w:val="21"/>
        </w:rPr>
        <w:t xml:space="preserve"> 3. maddesine</w:t>
      </w:r>
      <w:r w:rsidRPr="00A40242">
        <w:rPr>
          <w:rStyle w:val="DipnotBavurusu"/>
          <w:rFonts w:ascii="Palatino Linotype" w:hAnsi="Palatino Linotype" w:cstheme="minorHAnsi"/>
          <w:sz w:val="21"/>
          <w:szCs w:val="21"/>
        </w:rPr>
        <w:footnoteReference w:id="2"/>
      </w:r>
      <w:r w:rsidRPr="00A40242">
        <w:rPr>
          <w:rFonts w:ascii="Palatino Linotype" w:hAnsi="Palatino Linotype" w:cstheme="minorHAnsi"/>
          <w:sz w:val="21"/>
          <w:szCs w:val="21"/>
        </w:rPr>
        <w:t xml:space="preserve"> dayanarak 4286 hâkim ve Cumhuriyet savcısını meslekten çıkarmıştır.</w:t>
      </w:r>
      <w:r w:rsidRPr="00A40242">
        <w:rPr>
          <w:rStyle w:val="DipnotBavurusu"/>
          <w:rFonts w:ascii="Palatino Linotype" w:hAnsi="Palatino Linotype" w:cstheme="minorHAnsi"/>
          <w:sz w:val="21"/>
          <w:szCs w:val="21"/>
        </w:rPr>
        <w:footnoteReference w:id="3"/>
      </w:r>
      <w:r w:rsidRPr="00A40242">
        <w:rPr>
          <w:rFonts w:ascii="Palatino Linotype" w:hAnsi="Palatino Linotype" w:cstheme="minorHAnsi"/>
          <w:sz w:val="21"/>
          <w:szCs w:val="21"/>
        </w:rPr>
        <w:t xml:space="preserve"> Ayrıca, bu kararın bir sonucu olarak yargı mensuplarının bir daha kamu hizmetinde istihdamları yasaklanmış, hususi damgalı pasaportları ve silah ruhsatları da iptal edilmiştir. Ancak, ihraç kararları yurtiçi ve yurtdışında çok ciddi eleştirilere neden olmuş ve cevaplandırılması gereken birçok soruyu da beraberinde getirmiştir. Zira bu sayıda yargı mensubu bir gecede silahlı terör örgütü üyeliği gibi ağır bir suçlamayla açığa alınabildiğine göre acaba HSYK bu kişilerle ilgili 15 Temmuz’a kadar neden bir işlem yapmamış ve bu kişilerin yargılama faaliyetinde bulunmasına müsaade etmiştir?</w:t>
      </w:r>
    </w:p>
    <w:p w14:paraId="2D8DE3CB"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     Ayrıca, 15 Temmuz öncesinde yargı mensupları hakkında adli ve idari soruşturma yapma isteği bilinen bir gerçektir. Zira darbe teşebbüsünden bir ay önce 14/06/2016 tarihinde, o dönem HSYK 3. Dairesi üyesi olan Turgay Ateş yaptığı bir açıklamada </w:t>
      </w:r>
      <w:r w:rsidRPr="00A40242">
        <w:rPr>
          <w:rFonts w:ascii="Palatino Linotype" w:hAnsi="Palatino Linotype" w:cstheme="minorHAnsi"/>
          <w:i/>
          <w:sz w:val="21"/>
          <w:szCs w:val="21"/>
        </w:rPr>
        <w:t>"mevzuat yetersizliğinden"</w:t>
      </w:r>
      <w:r w:rsidRPr="00A40242">
        <w:rPr>
          <w:rFonts w:ascii="Palatino Linotype" w:hAnsi="Palatino Linotype" w:cstheme="minorHAnsi"/>
          <w:sz w:val="21"/>
          <w:szCs w:val="21"/>
        </w:rPr>
        <w:t xml:space="preserve"> yakınmış, içindeki malum yapı temizlenmeden yargının düştüğü yerden kalkamayacağını ve bu amacı gerçekleştirmek için HSYK'nın elinde çeşitli argümanlar bulunduğunu ancak mevzuat çerçevesinde bu sürecin uzadığını söylemiştir.</w:t>
      </w:r>
      <w:r w:rsidRPr="00A40242">
        <w:rPr>
          <w:rStyle w:val="DipnotBavurusu"/>
          <w:rFonts w:ascii="Palatino Linotype" w:hAnsi="Palatino Linotype" w:cstheme="minorHAnsi"/>
          <w:sz w:val="21"/>
          <w:szCs w:val="21"/>
        </w:rPr>
        <w:footnoteReference w:id="4"/>
      </w:r>
      <w:r w:rsidRPr="00A40242">
        <w:rPr>
          <w:rFonts w:ascii="Palatino Linotype" w:hAnsi="Palatino Linotype" w:cstheme="minorHAnsi"/>
          <w:sz w:val="21"/>
          <w:szCs w:val="21"/>
        </w:rPr>
        <w:t xml:space="preserve"> Benzer şekilde, HSYK Başkanvekili Mehmet Yılmaz 22/09/2016 tarihli açıklamasında; </w:t>
      </w:r>
      <w:r w:rsidRPr="00A40242">
        <w:rPr>
          <w:rFonts w:ascii="Palatino Linotype" w:hAnsi="Palatino Linotype" w:cstheme="minorHAnsi"/>
          <w:i/>
          <w:sz w:val="21"/>
          <w:szCs w:val="21"/>
        </w:rPr>
        <w:t>"biliyorsunuz bu örgütün silahlı terör örgütü olup olmadığı konusunda tartışma vardı. Bunun kriminal hale gelmesi için silahlı terör örgütü tespitinin yapılması gerekiyordu... O gün, darbe gecesi bu örgütün terör örgütü olduğu yönünde ayan beyan, kimsenin karşı çıkamayacağı deliller çıkınca Ankara Cumhuriyet Başsavcılığı Türk Ceza Kanunu'nun örgüt üyeliği suçunu düzenleyen 314. maddesi gereği soruşturma açtı",</w:t>
      </w:r>
      <w:r w:rsidRPr="00A40242">
        <w:rPr>
          <w:rStyle w:val="DipnotBavurusu"/>
          <w:rFonts w:ascii="Palatino Linotype" w:hAnsi="Palatino Linotype" w:cstheme="minorHAnsi"/>
          <w:sz w:val="21"/>
          <w:szCs w:val="21"/>
        </w:rPr>
        <w:footnoteReference w:id="5"/>
      </w:r>
      <w:r w:rsidRPr="00A40242">
        <w:rPr>
          <w:rFonts w:ascii="Palatino Linotype" w:hAnsi="Palatino Linotype" w:cstheme="minorHAnsi"/>
          <w:sz w:val="21"/>
          <w:szCs w:val="21"/>
        </w:rPr>
        <w:t xml:space="preserve"> 12/10/2016 tarihli açıklamasında; </w:t>
      </w:r>
      <w:r w:rsidRPr="00A40242">
        <w:rPr>
          <w:rFonts w:ascii="Palatino Linotype" w:hAnsi="Palatino Linotype" w:cstheme="minorHAnsi"/>
          <w:i/>
          <w:sz w:val="21"/>
          <w:szCs w:val="21"/>
        </w:rPr>
        <w:t>"bunlar örgüt ama ne örgütü dendiğinde hizmet örgütü deniyordu, MGK terör örgütü kapsamına alsa da, Avrupa'dan da aynı sesler geliyordu, bize idari tasarrufla terör örgütü yaratamazsınız denildi. 15 Temmuz gecesi, bu örgütün silahlı terör örgütü olduğu konusunda kimsenin kafasında kuşku kalmadı"</w:t>
      </w:r>
      <w:r w:rsidRPr="00A40242">
        <w:rPr>
          <w:rStyle w:val="DipnotBavurusu"/>
          <w:rFonts w:ascii="Palatino Linotype" w:hAnsi="Palatino Linotype" w:cstheme="minorHAnsi"/>
          <w:sz w:val="21"/>
          <w:szCs w:val="21"/>
        </w:rPr>
        <w:footnoteReference w:id="6"/>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 xml:space="preserve">ve 23/09/2016 tarihli açıklamasında da; </w:t>
      </w:r>
      <w:r w:rsidRPr="00A40242">
        <w:rPr>
          <w:rFonts w:ascii="Palatino Linotype" w:hAnsi="Palatino Linotype" w:cstheme="minorHAnsi"/>
          <w:i/>
          <w:sz w:val="21"/>
          <w:szCs w:val="21"/>
        </w:rPr>
        <w:t xml:space="preserve">"açığa alma kararı ihraç değildi. Ancak daha sonra 667 sayılı </w:t>
      </w:r>
      <w:r w:rsidRPr="00A40242">
        <w:rPr>
          <w:rFonts w:ascii="Palatino Linotype" w:hAnsi="Palatino Linotype" w:cstheme="minorHAnsi"/>
          <w:i/>
          <w:sz w:val="21"/>
          <w:szCs w:val="21"/>
        </w:rPr>
        <w:lastRenderedPageBreak/>
        <w:t>KHK'de terör örgütleri ile iltisaklı hâkim-savcıların HSYK'ca memuriyetten ihraç edilecekleri düzenlediği için biz de ihraç kararlarını verdik. Bu KHK daha önce yoktu ki hepsini birden ihraç edelim. İhraç kararlarımız KHK'ya dayandı. KHK çıkmasaydı, elimizdeki disiplin soruşturmasına devam edecektik"</w:t>
      </w:r>
      <w:r w:rsidRPr="00B11C60">
        <w:rPr>
          <w:rStyle w:val="DipnotBavurusu"/>
          <w:rFonts w:ascii="Palatino Linotype" w:hAnsi="Palatino Linotype" w:cstheme="minorHAnsi"/>
          <w:bCs/>
          <w:sz w:val="21"/>
          <w:szCs w:val="21"/>
        </w:rPr>
        <w:footnoteReference w:id="7"/>
      </w:r>
      <w:r w:rsidRPr="00B11C60">
        <w:rPr>
          <w:rFonts w:ascii="Palatino Linotype" w:hAnsi="Palatino Linotype" w:cstheme="minorHAnsi"/>
          <w:bCs/>
          <w:sz w:val="21"/>
          <w:szCs w:val="21"/>
        </w:rPr>
        <w:t xml:space="preserve"> </w:t>
      </w:r>
      <w:r w:rsidRPr="00A40242">
        <w:rPr>
          <w:rFonts w:ascii="Palatino Linotype" w:hAnsi="Palatino Linotype" w:cstheme="minorHAnsi"/>
          <w:sz w:val="21"/>
          <w:szCs w:val="21"/>
        </w:rPr>
        <w:t>demiştir.</w:t>
      </w:r>
    </w:p>
    <w:p w14:paraId="3768B278" w14:textId="77777777" w:rsidR="00936167" w:rsidRPr="00A40242" w:rsidRDefault="00936167" w:rsidP="00936167">
      <w:pPr>
        <w:spacing w:before="120" w:after="120" w:line="240" w:lineRule="auto"/>
        <w:ind w:firstLine="567"/>
        <w:jc w:val="both"/>
        <w:rPr>
          <w:rFonts w:ascii="Palatino Linotype" w:hAnsi="Palatino Linotype" w:cstheme="minorHAnsi"/>
          <w:i/>
          <w:sz w:val="21"/>
          <w:szCs w:val="21"/>
        </w:rPr>
      </w:pPr>
      <w:r w:rsidRPr="00A40242">
        <w:rPr>
          <w:rFonts w:ascii="Palatino Linotype" w:hAnsi="Palatino Linotype" w:cstheme="minorHAnsi"/>
          <w:sz w:val="21"/>
          <w:szCs w:val="21"/>
        </w:rPr>
        <w:t xml:space="preserve">Yine, o dönem AKP Genel Başkan Yardımcısı olan Mustafa Şentop 15/10/2014 tarihinde yaptığı açıklamada; </w:t>
      </w:r>
      <w:r w:rsidRPr="00A40242">
        <w:rPr>
          <w:rFonts w:ascii="Palatino Linotype" w:hAnsi="Palatino Linotype" w:cstheme="minorHAnsi"/>
          <w:i/>
          <w:sz w:val="21"/>
          <w:szCs w:val="21"/>
        </w:rPr>
        <w:t>“</w:t>
      </w:r>
      <w:r w:rsidRPr="00A40242">
        <w:rPr>
          <w:rFonts w:ascii="Palatino Linotype" w:hAnsi="Palatino Linotype" w:cstheme="minorHAnsi"/>
          <w:i/>
          <w:sz w:val="21"/>
          <w:szCs w:val="21"/>
          <w:shd w:val="clear" w:color="auto" w:fill="FFFFFF"/>
        </w:rPr>
        <w:t xml:space="preserve">aşağı yukarı dört bin civarında hakim savcının bir çekirdek yapı olarak, paralel yapıyla ilgili olduğu iddia edilen kişilere destek verdiğini bu seçimde görüyoruz. Demek ki dört bin civarında hakim ve savcının böyle bir bağlantısı irtibatı var. Yargı'da bir yerden talimat geldiğinde blok halinde oy veren, blok halinde görüş bildiren, blok halinde elini kaldıran insanların olmaması lazım. Bence bunlarla ilgili yer değiştirme, kınama gibi cezalar değil, bunların hakimlik mesleğine yakışan bir tutum içinde olup olmadığı da sorgulanmalıdır. Bu mesleği, mesleğin gereklerine göre yapamayacak durumda olanlar varsa, bu da tabii somut delillerle olur, mesleği bırakmalıdır ya da mesleği bırakmaları sağlanmalıdır” </w:t>
      </w:r>
      <w:r w:rsidRPr="00A40242">
        <w:rPr>
          <w:rFonts w:ascii="Palatino Linotype" w:hAnsi="Palatino Linotype" w:cstheme="minorHAnsi"/>
          <w:sz w:val="21"/>
          <w:szCs w:val="21"/>
          <w:shd w:val="clear" w:color="auto" w:fill="FFFFFF"/>
        </w:rPr>
        <w:t>demiştir.</w:t>
      </w:r>
      <w:r w:rsidRPr="00A40242">
        <w:rPr>
          <w:rStyle w:val="DipnotBavurusu"/>
          <w:rFonts w:ascii="Palatino Linotype" w:hAnsi="Palatino Linotype" w:cstheme="minorHAnsi"/>
          <w:sz w:val="21"/>
          <w:szCs w:val="21"/>
          <w:shd w:val="clear" w:color="auto" w:fill="FFFFFF"/>
        </w:rPr>
        <w:footnoteReference w:id="8"/>
      </w:r>
    </w:p>
    <w:p w14:paraId="4693899F"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 xml:space="preserve">Yapılan açıklamalardan anlaşılacağı üzere, yargı mensupları hakkında idari ve yargısal tasarrufta bulunabilmek için elde delil olmadığından 20/07/2016 tarihinde ilan edilen OHAL ile birlikte çıkarılan KHK'ler HSYK'nın imdadına </w:t>
      </w:r>
      <w:r w:rsidRPr="00A40242">
        <w:rPr>
          <w:rFonts w:ascii="Palatino Linotype" w:hAnsi="Palatino Linotype" w:cstheme="minorHAnsi"/>
          <w:i/>
          <w:sz w:val="21"/>
          <w:szCs w:val="21"/>
        </w:rPr>
        <w:t>"tam bir lütuf"</w:t>
      </w:r>
      <w:r w:rsidRPr="00A40242">
        <w:rPr>
          <w:rFonts w:ascii="Palatino Linotype" w:hAnsi="Palatino Linotype" w:cstheme="minorHAnsi"/>
          <w:sz w:val="21"/>
          <w:szCs w:val="21"/>
        </w:rPr>
        <w:t xml:space="preserve"> olarak yetişmiş,</w:t>
      </w:r>
      <w:r w:rsidRPr="00A40242">
        <w:rPr>
          <w:rStyle w:val="DipnotBavurusu"/>
          <w:rFonts w:ascii="Palatino Linotype" w:hAnsi="Palatino Linotype" w:cstheme="minorHAnsi"/>
          <w:sz w:val="21"/>
          <w:szCs w:val="21"/>
        </w:rPr>
        <w:footnoteReference w:id="9"/>
      </w:r>
      <w:r w:rsidRPr="00A40242">
        <w:rPr>
          <w:rFonts w:ascii="Palatino Linotype" w:hAnsi="Palatino Linotype" w:cstheme="minorHAnsi"/>
          <w:sz w:val="21"/>
          <w:szCs w:val="21"/>
        </w:rPr>
        <w:t xml:space="preserve"> önündeki mevzuat engeli darbe girişimi ve OHAL sayesinde aşılmış, hâkim-savcıların ihracı için aranan gerekçe ve kamuoyu desteği darbe teşebbüsüyle bulunmuş ve bu suretle hukuka aykırı uygulamalara tevessül edilmiştir. Ancak 15 Temmuz sonrası uygulamaları nedeniyle, Avrupa Birliği ülkelerinde yasama ve yürütmeden bağımsız olan ve yargının bağımsızlığı için çalışan kurum ve kurulları çatısı altında toplayan Avrupa Yargı Kurulları Ağı (ENCJ), HSYK'nın gözlemci statüsünü askıya almış,</w:t>
      </w:r>
      <w:r w:rsidRPr="00A40242">
        <w:rPr>
          <w:rStyle w:val="DipnotBavurusu"/>
          <w:rFonts w:ascii="Palatino Linotype" w:hAnsi="Palatino Linotype" w:cstheme="minorHAnsi"/>
          <w:sz w:val="21"/>
          <w:szCs w:val="21"/>
        </w:rPr>
        <w:footnoteReference w:id="10"/>
      </w:r>
      <w:r w:rsidRPr="00A40242">
        <w:rPr>
          <w:rFonts w:ascii="Palatino Linotype" w:hAnsi="Palatino Linotype" w:cstheme="minorHAnsi"/>
          <w:sz w:val="21"/>
          <w:szCs w:val="21"/>
        </w:rPr>
        <w:t xml:space="preserve"> bu uygulamalar Avrupa Birliğinin 2016 yılı Türkiye raporunda sert şekilde eleştirilmiş</w:t>
      </w:r>
      <w:r w:rsidRPr="00A40242">
        <w:rPr>
          <w:rStyle w:val="DipnotBavurusu"/>
          <w:rFonts w:ascii="Palatino Linotype" w:hAnsi="Palatino Linotype" w:cstheme="minorHAnsi"/>
          <w:sz w:val="21"/>
          <w:szCs w:val="21"/>
        </w:rPr>
        <w:footnoteReference w:id="11"/>
      </w:r>
      <w:r w:rsidRPr="00A40242">
        <w:rPr>
          <w:rFonts w:ascii="Palatino Linotype" w:hAnsi="Palatino Linotype" w:cstheme="minorHAnsi"/>
          <w:sz w:val="21"/>
          <w:szCs w:val="21"/>
        </w:rPr>
        <w:t xml:space="preserve"> ve Uluslararası Yargıçlar Birliği de yaptığı açıklamada; Türkiye'de hukukun </w:t>
      </w:r>
      <w:r w:rsidRPr="00A40242">
        <w:rPr>
          <w:rFonts w:ascii="Palatino Linotype" w:hAnsi="Palatino Linotype" w:cstheme="minorHAnsi"/>
          <w:sz w:val="21"/>
          <w:szCs w:val="21"/>
        </w:rPr>
        <w:lastRenderedPageBreak/>
        <w:t>üstünlüğünün sonuna gelindiğini, HSYK'nın tamamıyla hükümetin hâkimiyetinde olduğunu, darbe girişiminden sonra hâkimlerin yüzde 24,4'ünün, savcıların de yüzde 24,3'ünün ihraç edildiğini ve çoğunun tutuklu olduğunu belirterek, bu durumdaki bir yargının bağımsız olarak tanımlanamayacağını ifade etmiştir.</w:t>
      </w:r>
      <w:r w:rsidRPr="00A40242">
        <w:rPr>
          <w:rStyle w:val="DipnotBavurusu"/>
          <w:rFonts w:ascii="Palatino Linotype" w:hAnsi="Palatino Linotype" w:cstheme="minorHAnsi"/>
          <w:sz w:val="21"/>
          <w:szCs w:val="21"/>
        </w:rPr>
        <w:footnoteReference w:id="12"/>
      </w:r>
      <w:r w:rsidRPr="00A40242">
        <w:rPr>
          <w:rFonts w:ascii="Palatino Linotype" w:hAnsi="Palatino Linotype" w:cstheme="minorHAnsi"/>
          <w:sz w:val="21"/>
          <w:szCs w:val="21"/>
        </w:rPr>
        <w:tab/>
      </w:r>
    </w:p>
    <w:p w14:paraId="2513856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Bu bölümde, HSYK tarafından verilen açığa alma ve ihraç kararının AHİS ve AİHM kararları ışığında değerlendirilmesi yapılacak ve Sözleşme'ye uygun olup olmadığı incelenecektir. </w:t>
      </w:r>
    </w:p>
    <w:p w14:paraId="78F1CF27" w14:textId="77777777" w:rsidR="00936167" w:rsidRPr="00A40242" w:rsidRDefault="00936167" w:rsidP="00936167">
      <w:pPr>
        <w:pStyle w:val="Balk1"/>
        <w:numPr>
          <w:ilvl w:val="0"/>
          <w:numId w:val="39"/>
        </w:numPr>
        <w:spacing w:before="120" w:after="120" w:line="240" w:lineRule="auto"/>
        <w:ind w:left="993" w:hanging="426"/>
        <w:rPr>
          <w:rFonts w:eastAsia="Times New Roman" w:cstheme="minorHAnsi"/>
          <w:color w:val="auto"/>
          <w:sz w:val="21"/>
          <w:szCs w:val="21"/>
        </w:rPr>
      </w:pPr>
      <w:bookmarkStart w:id="2" w:name="_Toc7451320"/>
      <w:r w:rsidRPr="00A40242">
        <w:rPr>
          <w:rFonts w:eastAsia="Times New Roman" w:cstheme="minorHAnsi"/>
          <w:color w:val="auto"/>
          <w:sz w:val="21"/>
          <w:szCs w:val="21"/>
        </w:rPr>
        <w:t>MESLEKTEN ÇIKARMA KARARININ DAYANAĞI OLAN AÇIĞA ALMA KARARININ DEĞERLENDİRİLMESİ</w:t>
      </w:r>
      <w:bookmarkEnd w:id="2"/>
    </w:p>
    <w:p w14:paraId="6FA50C57"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16/7/2016 tarihinde 2745 yargı mensubu HSYK tarafından açığa alınmış olup,</w:t>
      </w:r>
      <w:r w:rsidRPr="00A40242">
        <w:rPr>
          <w:rStyle w:val="DipnotBavurusu"/>
          <w:rFonts w:ascii="Palatino Linotype" w:eastAsia="Times New Roman" w:hAnsi="Palatino Linotype" w:cstheme="minorHAnsi"/>
          <w:sz w:val="21"/>
          <w:szCs w:val="21"/>
        </w:rPr>
        <w:footnoteReference w:id="13"/>
      </w:r>
      <w:r w:rsidRPr="00A40242">
        <w:rPr>
          <w:rFonts w:ascii="Palatino Linotype" w:eastAsia="Times New Roman" w:hAnsi="Palatino Linotype" w:cstheme="minorHAnsi"/>
          <w:sz w:val="21"/>
          <w:szCs w:val="21"/>
        </w:rPr>
        <w:t xml:space="preserve"> bu karar hâkim ve savcıların meslekten çıkarıldıkları 24/8/2016 tarihli karara ve bu kişilerle ilgili yürütülen soruşturma ve kovuşturmalara esas teşkil etmiştir. Önemine binaen, meslekten çıkarma kararıyla ilgili değerlendirmelere geçmeden önce açığa alma kararına değinilmesinde fayda olduğu düşünülmektedir.</w:t>
      </w:r>
    </w:p>
    <w:p w14:paraId="29D76B81"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Açığa alma kararı OHAL ilan edilmeden önce alınmış olup, böyle bir kararın alınabilmesi açığa alınan 2745 hâkim ve savcı hakkında yapılan bir inceleme ve soruşturmanın varlığına bağlıdır. Ancak, yargı mensupları hakkındaki soruşturma daha önceden değil, darbe teşebbüsünün devam ettiği 16/7/2016 tarihinde başlatılmıştır. Karar bu yönüyle eleştiriye açık olsa da, yargı mensupları hakkında başlatılan soruşturma bu kişilerin mesleki statüleri ve sahip oldukları haklar gözetilerek 2802 ve 6087 sayılı Kanunlara uygun şekilde başlatılmış, ancak bu soruşturma sonuçlandırılmadan hâkim ve savcılar OHAL KHK'sine istinaden ihraç edilmişlerdir. Acaba, neden 16/7/2016 tarihinde usulüne uygun olarak başlatılan, gerekli inceleme ve izinlerin alındığı soruşturmaya devam edilmemiş ve OHAL KHK'sine dayanılarak işlem yapılmıştır?</w:t>
      </w:r>
    </w:p>
    <w:p w14:paraId="4843FE1E"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Bu sorunun cevabı çok basit ve nettir; yargı mensupları hakkında idari ve yargısal tasarrufta bulunabilmek için elde delil bulunmadığından ve başlatılan soruşturmayla istenilen neticenin alınamayacağı bilindiğinden, OHAL KHK'sinin verdiği olağanüstü yetkiye dayanılarak bu karar alınmıştır.  </w:t>
      </w:r>
    </w:p>
    <w:p w14:paraId="73789EF6" w14:textId="77777777" w:rsidR="00936167" w:rsidRPr="00A40242" w:rsidRDefault="00936167" w:rsidP="00936167">
      <w:pPr>
        <w:pStyle w:val="ListeParagraf"/>
        <w:spacing w:before="120" w:after="120" w:line="240" w:lineRule="auto"/>
        <w:ind w:left="0" w:firstLine="720"/>
        <w:jc w:val="both"/>
        <w:rPr>
          <w:rFonts w:ascii="Palatino Linotype" w:eastAsia="Times New Roman" w:hAnsi="Palatino Linotype" w:cs="Times New Roman"/>
          <w:sz w:val="21"/>
          <w:szCs w:val="21"/>
        </w:rPr>
      </w:pPr>
      <w:r w:rsidRPr="00A40242">
        <w:rPr>
          <w:rFonts w:ascii="Palatino Linotype" w:eastAsia="Times New Roman" w:hAnsi="Palatino Linotype" w:cstheme="minorHAnsi"/>
          <w:sz w:val="21"/>
          <w:szCs w:val="21"/>
        </w:rPr>
        <w:t xml:space="preserve">Kararla ilgili üzerinde durulması gereken diğer husus, 669 sayfalık kararın ne zaman yazıldığı, yani 16/7/2016 tarihinde var olup olmadığı, görevlendirilen müfettişin hangi inceleme ve araştırmaya dayanarak 2745 hâkim ve savcının açığa alınmasını teklif ettiği ve bu kadar kapsamlı işlemlerin bir kaç saat içinde nasıl </w:t>
      </w:r>
      <w:r w:rsidRPr="00A40242">
        <w:rPr>
          <w:rFonts w:ascii="Palatino Linotype" w:eastAsia="Times New Roman" w:hAnsi="Palatino Linotype" w:cs="Times New Roman"/>
          <w:sz w:val="21"/>
          <w:szCs w:val="21"/>
        </w:rPr>
        <w:t xml:space="preserve">bitirilebildiğidir? </w:t>
      </w:r>
    </w:p>
    <w:p w14:paraId="757729F1"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Karardan; HSYK 3. Dairesinin, 16/7/2016 günü 2745 hâkim ve savcı hakkında soruşturma izni talep ettiği,</w:t>
      </w:r>
    </w:p>
    <w:p w14:paraId="7790F603"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 Aynı gün Kurul Başkanı sıfatıyla Adalet Bakanı'nın bu teklife </w:t>
      </w:r>
      <w:r w:rsidRPr="00A40242">
        <w:rPr>
          <w:rFonts w:ascii="Palatino Linotype" w:eastAsia="Times New Roman" w:hAnsi="Palatino Linotype" w:cstheme="minorHAnsi"/>
          <w:i/>
          <w:sz w:val="21"/>
          <w:szCs w:val="21"/>
        </w:rPr>
        <w:t>"olur"</w:t>
      </w:r>
      <w:r w:rsidRPr="00A40242">
        <w:rPr>
          <w:rFonts w:ascii="Palatino Linotype" w:eastAsia="Times New Roman" w:hAnsi="Palatino Linotype" w:cstheme="minorHAnsi"/>
          <w:sz w:val="21"/>
          <w:szCs w:val="21"/>
        </w:rPr>
        <w:t xml:space="preserve"> verdiği,</w:t>
      </w:r>
    </w:p>
    <w:p w14:paraId="0F3ACDD9"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Aynı gün HSYK Teftiş Kurulu Başkanlığınca bir başmüfettişin görevlendirildiği,</w:t>
      </w:r>
    </w:p>
    <w:p w14:paraId="5DF7C1F1"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imes New Roman"/>
          <w:color w:val="FF0000"/>
          <w:sz w:val="21"/>
          <w:szCs w:val="21"/>
        </w:rPr>
      </w:pPr>
      <w:r w:rsidRPr="00A40242">
        <w:rPr>
          <w:rFonts w:ascii="Palatino Linotype" w:eastAsia="Times New Roman" w:hAnsi="Palatino Linotype" w:cstheme="minorHAnsi"/>
          <w:sz w:val="21"/>
          <w:szCs w:val="21"/>
        </w:rPr>
        <w:t xml:space="preserve">- </w:t>
      </w:r>
      <w:r w:rsidRPr="00A40242">
        <w:rPr>
          <w:rFonts w:ascii="Palatino Linotype" w:eastAsia="Times New Roman" w:hAnsi="Palatino Linotype" w:cs="Times New Roman"/>
          <w:sz w:val="21"/>
          <w:szCs w:val="21"/>
        </w:rPr>
        <w:t>Görevlendirilen başmüfettişin ön rapor hazırladığı ve ekleri ile birlikte aynı gün HSYK 2. Dairesine sunduğu,</w:t>
      </w:r>
    </w:p>
    <w:p w14:paraId="04D818AA"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Aynı gün HSYK 2. Dairesi tarafından 2745 hâkim savcı hakkında görevden uzaklaştırma kararı verildiği ve 669 sayfalık kararın yazıldığı anlaşılmaktadır.</w:t>
      </w:r>
    </w:p>
    <w:p w14:paraId="7136EAA0" w14:textId="77777777" w:rsidR="00936167" w:rsidRPr="00A40242" w:rsidRDefault="00936167" w:rsidP="00936167">
      <w:pPr>
        <w:pStyle w:val="ListeParagraf"/>
        <w:spacing w:before="120" w:after="120" w:line="240" w:lineRule="auto"/>
        <w:ind w:left="0" w:firstLine="720"/>
        <w:jc w:val="both"/>
        <w:rPr>
          <w:rFonts w:ascii="Palatino Linotype" w:eastAsia="Times New Roman" w:hAnsi="Palatino Linotype" w:cs="Times New Roman"/>
          <w:sz w:val="21"/>
          <w:szCs w:val="21"/>
        </w:rPr>
      </w:pPr>
      <w:r w:rsidRPr="00A40242">
        <w:rPr>
          <w:rFonts w:ascii="Palatino Linotype" w:eastAsia="Times New Roman" w:hAnsi="Palatino Linotype" w:cstheme="minorHAnsi"/>
          <w:sz w:val="21"/>
          <w:szCs w:val="21"/>
        </w:rPr>
        <w:t xml:space="preserve">Kararda bu hususlara yer verilse de, normal şartlarda aylarca sürmesi beklenen işlemlerin nasıl olup da birkaç saat içinde bitirilebildiğine yer verilmemiştir. </w:t>
      </w:r>
      <w:r w:rsidRPr="00A40242">
        <w:rPr>
          <w:rFonts w:ascii="Palatino Linotype" w:eastAsia="Times New Roman" w:hAnsi="Palatino Linotype" w:cs="Times New Roman"/>
          <w:sz w:val="21"/>
          <w:szCs w:val="21"/>
        </w:rPr>
        <w:t xml:space="preserve">Ayrıca, yargı mensuplarıyla ilgili bu kadar kapsamlı ve ağır sonuç doğuran bu kararın aynı günde </w:t>
      </w:r>
      <w:r w:rsidRPr="00A40242">
        <w:rPr>
          <w:rFonts w:ascii="Palatino Linotype" w:eastAsia="Times New Roman" w:hAnsi="Palatino Linotype" w:cs="Times New Roman"/>
          <w:sz w:val="21"/>
          <w:szCs w:val="21"/>
        </w:rPr>
        <w:lastRenderedPageBreak/>
        <w:t>verilebilmesi mantığa, hayatın olağan akışına ve hukuka aykırıdır. Zira idari işlemin gerekçesi, tesisi sırasında var olmalıdır.</w:t>
      </w:r>
    </w:p>
    <w:p w14:paraId="62D3F728"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 Alınış tarzı ve kararda yer verilen hususlar dikkate alındığında, yargı mensuplarının yürütülen bir soruşturmayla değil, HSYK'nın üç yıldır üzerinde çalıştığı fişleme listeleriyle açığa alındıkları anlaşılmaktadır.</w:t>
      </w:r>
    </w:p>
    <w:p w14:paraId="78BD9D42" w14:textId="77777777" w:rsidR="00936167" w:rsidRPr="00A40242" w:rsidRDefault="00936167" w:rsidP="00936167">
      <w:pPr>
        <w:spacing w:before="120" w:after="120" w:line="240" w:lineRule="auto"/>
        <w:ind w:firstLine="720"/>
        <w:contextualSpacing/>
        <w:jc w:val="both"/>
        <w:rPr>
          <w:rFonts w:ascii="Palatino Linotype" w:eastAsia="Times New Roman" w:hAnsi="Palatino Linotype" w:cs="Times New Roman"/>
          <w:sz w:val="21"/>
          <w:szCs w:val="21"/>
        </w:rPr>
      </w:pPr>
      <w:r w:rsidRPr="00A40242">
        <w:rPr>
          <w:rFonts w:ascii="Palatino Linotype" w:eastAsia="Times New Roman" w:hAnsi="Palatino Linotype" w:cs="Times New Roman"/>
          <w:sz w:val="21"/>
          <w:szCs w:val="21"/>
        </w:rPr>
        <w:t>Açığa alma kararı birçok yargı mensubu tarafından talep edilmesine rağmen hiçbirine verilmemiş ve birçoğu bu karara karşı iç hukuk yolu bulunmadığından AİHM’e başvurmuştur. Karar, hâkim ve savcıların tutuklanmalarında ana suçlayıcı delil kabul edilmiş ve bu husus bizzat soruşturma ve kovuşturma mercileri tarafından da ifade edilmiştir.</w:t>
      </w:r>
      <w:r w:rsidRPr="00A40242">
        <w:rPr>
          <w:rStyle w:val="DipnotBavurusu"/>
          <w:rFonts w:ascii="Palatino Linotype" w:eastAsia="Times New Roman" w:hAnsi="Palatino Linotype" w:cs="Times New Roman"/>
          <w:sz w:val="21"/>
          <w:szCs w:val="21"/>
        </w:rPr>
        <w:footnoteReference w:id="14"/>
      </w:r>
      <w:r w:rsidRPr="00A40242">
        <w:rPr>
          <w:rFonts w:ascii="Palatino Linotype" w:eastAsia="Times New Roman" w:hAnsi="Palatino Linotype" w:cs="Times New Roman"/>
          <w:sz w:val="21"/>
          <w:szCs w:val="21"/>
        </w:rPr>
        <w:t xml:space="preserve"> Ancak, soruşturma dosyaları incelendiğinde, bu karar ne tutuklama kararlarının yoğunlukla verildiği 2016 yılı temmuz ve ağustos aylarında, ne de şimdi hiçbir dosyada bulunmamaktadır. </w:t>
      </w:r>
    </w:p>
    <w:p w14:paraId="1D46E41D"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Kararda, örgütün faaliyetleri ve işlediği iddia edilen suçlara, yargı yapılanması ve eylemlerine ve HSYK tarafından yürütülen soruşturmalara değinilmiş, ancak çok az kişi hakkında bireyselleştirme yapılmış ve büyük çoğunluğuyla ilgili somut olgu, durum ve vaka temelli bir değerlendirmeye yer verilmemiştir. Başka bir ifadeyle, yaptırıma muhatap olanların adı sadece kararda yer alan listelerdeki bir isimden ibaret kalmıştır. Bu yönüyle karar adeta </w:t>
      </w:r>
      <w:r w:rsidRPr="00A40242">
        <w:rPr>
          <w:rFonts w:ascii="Palatino Linotype" w:eastAsia="Times New Roman" w:hAnsi="Palatino Linotype" w:cstheme="minorHAnsi"/>
          <w:i/>
          <w:sz w:val="21"/>
          <w:szCs w:val="21"/>
        </w:rPr>
        <w:t>"ilgilinin öncelikle açığa alınması ve sonrasında gerekçenin oluşturulması"</w:t>
      </w:r>
      <w:r w:rsidRPr="00A40242">
        <w:rPr>
          <w:rFonts w:ascii="Palatino Linotype" w:eastAsia="Times New Roman" w:hAnsi="Palatino Linotype" w:cstheme="minorHAnsi"/>
          <w:sz w:val="21"/>
          <w:szCs w:val="21"/>
        </w:rPr>
        <w:t xml:space="preserve"> mantığıyla yazılmıştır. </w:t>
      </w:r>
    </w:p>
    <w:p w14:paraId="43A9FF2E"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Kararın </w:t>
      </w:r>
      <w:r w:rsidRPr="00A40242">
        <w:rPr>
          <w:rFonts w:ascii="Palatino Linotype" w:eastAsia="Times New Roman" w:hAnsi="Palatino Linotype" w:cstheme="minorHAnsi"/>
          <w:i/>
          <w:sz w:val="21"/>
          <w:szCs w:val="21"/>
        </w:rPr>
        <w:t>"…FETÖ mensubu olup, itirafçı yahut gizili tanık sıfatıyla ifadelerine başvurulan bazı hâkim ve savcıların beyanlarının bir bütün olarak değerlendirilmesi sonucunda..</w:t>
      </w:r>
      <w:r w:rsidRPr="00A40242">
        <w:rPr>
          <w:rFonts w:ascii="Palatino Linotype" w:eastAsia="Times New Roman" w:hAnsi="Palatino Linotype" w:cstheme="minorHAnsi"/>
          <w:sz w:val="21"/>
          <w:szCs w:val="21"/>
        </w:rPr>
        <w:t>." alındığı belirtilmiş olup bu ifadeden de anlaşılacağı üzere, karar,</w:t>
      </w:r>
      <w:r w:rsidRPr="00A40242">
        <w:rPr>
          <w:rFonts w:ascii="Palatino Linotype" w:eastAsia="Times New Roman" w:hAnsi="Palatino Linotype" w:cs="Times New Roman"/>
          <w:sz w:val="21"/>
          <w:szCs w:val="21"/>
        </w:rPr>
        <w:t xml:space="preserve"> alınmasından aylar </w:t>
      </w:r>
      <w:r w:rsidRPr="00A40242">
        <w:rPr>
          <w:rFonts w:ascii="Palatino Linotype" w:eastAsia="Times New Roman" w:hAnsi="Palatino Linotype" w:cstheme="minorHAnsi"/>
          <w:sz w:val="21"/>
          <w:szCs w:val="21"/>
        </w:rPr>
        <w:t xml:space="preserve">sonra ortaya çıkan ve büyük kısmı tartışmalı olan delillere dayandırılmıştır. Yani, karar tarihinde bulunmayan deliller varmış gibi işlem tesis edilmiş ve bu suretle gerekçe güçlü gösterilmeye çalışılmıştır. Gerekçeli kararın daha sonra yazılabileceği kabul edilse bile, karardan sonra meydana gelen olayların ve elde edilen delilerin açığa alma tedbirine dayanak yapılması mümkün değildir ve böyle bir yönteme başvurulması karar tarihi itibariyle elde delil bulunmadığını ve daha sonra ortaya çıkan hususlarla kararın gerekçelendirilmeye çalışıldığını göstermektedir. </w:t>
      </w:r>
    </w:p>
    <w:p w14:paraId="6BAF6EF6"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Kararda; </w:t>
      </w:r>
      <w:r w:rsidRPr="00A40242">
        <w:rPr>
          <w:rFonts w:ascii="Palatino Linotype" w:eastAsia="Times New Roman" w:hAnsi="Palatino Linotype" w:cstheme="minorHAnsi"/>
          <w:i/>
          <w:sz w:val="21"/>
          <w:szCs w:val="21"/>
        </w:rPr>
        <w:t xml:space="preserve">"...bu kapsamda; şikayete konu 2011/762 sayılı soruşturma dosyasında birleştirilen 2010/1074 sayılı soruşturma evrakında şüpheli …hakkında bazı internet sitelerinde yer alan güncel haber niteliğindeki bilgiler ile kolluk arşiv kayıtlarının sorgulanması suretiyle hazırlanan, herhangi bir ön araştırmaya tabi tutulmamış ancak bir istihbarat çalışmasının ürünü olarak kabul edilebilecek genel değerlendirmelerden hareketle,.." </w:t>
      </w:r>
      <w:r w:rsidRPr="00A40242">
        <w:rPr>
          <w:rFonts w:ascii="Palatino Linotype" w:eastAsia="Times New Roman" w:hAnsi="Palatino Linotype" w:cstheme="minorHAnsi"/>
          <w:sz w:val="21"/>
          <w:szCs w:val="21"/>
        </w:rPr>
        <w:t xml:space="preserve">denilerek, soruşturmada </w:t>
      </w:r>
      <w:r w:rsidRPr="00A40242">
        <w:rPr>
          <w:rFonts w:ascii="Palatino Linotype" w:eastAsia="Times New Roman" w:hAnsi="Palatino Linotype" w:cs="Times New Roman"/>
          <w:sz w:val="21"/>
          <w:szCs w:val="21"/>
        </w:rPr>
        <w:t>istihbari verilerinin kullanılması eleştirilirken</w:t>
      </w:r>
      <w:r w:rsidRPr="00A40242">
        <w:rPr>
          <w:rFonts w:ascii="Palatino Linotype" w:eastAsia="Times New Roman" w:hAnsi="Palatino Linotype" w:cstheme="minorHAnsi"/>
          <w:sz w:val="21"/>
          <w:szCs w:val="21"/>
        </w:rPr>
        <w:t xml:space="preserve"> ve bizatihi bu husus soruşturmaya konu yapılırken, kararının 627. sayfasında</w:t>
      </w:r>
      <w:r w:rsidRPr="00A40242">
        <w:rPr>
          <w:rFonts w:ascii="Palatino Linotype" w:eastAsia="Times New Roman" w:hAnsi="Palatino Linotype" w:cstheme="minorHAnsi"/>
          <w:i/>
          <w:sz w:val="21"/>
          <w:szCs w:val="21"/>
        </w:rPr>
        <w:t xml:space="preserve"> "...yapılan istihbari çalışma sonuçları birlikte değerlendirildiğinde"</w:t>
      </w:r>
      <w:r w:rsidRPr="00A40242">
        <w:rPr>
          <w:rFonts w:ascii="Palatino Linotype" w:eastAsia="Times New Roman" w:hAnsi="Palatino Linotype" w:cstheme="minorHAnsi"/>
          <w:sz w:val="21"/>
          <w:szCs w:val="21"/>
        </w:rPr>
        <w:t xml:space="preserve"> denilmek suretiyle hakim ve savcılar hakkındaki istihbari çalışma yapıldığı ve bu çalışma neticesinde elde edilen verilerin açığa alma kararında kullanıldığı itiraf edilmiştir. Ancak AYM, Yargıtay, Danıştay ve özellikle de AİHM içtihatları gereğince istihbari bilgi ve belgelerin adli ve idari soruşturmalarda delil olarak kullanılması mümkün değildir ve kullanılması adil yargılanma hakkının ihlaline neden olur. Ayrıca, hiçbir mevzuat hükmü HSYK'ya istihbarat toplama yetkisi de vermemiştir. Bu nedenle, istihbari ve fişleme bilgilerine dayanılarak verilen meslekten çıkarma kararı hukuksuzdur ve karara dayanak yapılan bilgiler kararı en başından sakat hale getirmiştir.  </w:t>
      </w:r>
    </w:p>
    <w:p w14:paraId="4440B8BF"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Yapılan açıklamalardan da anlaşılacağı üzere; </w:t>
      </w:r>
    </w:p>
    <w:p w14:paraId="01FC4817"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1. 669 sayfadan oluşan kararın 16/7/2016 tarihinde yazıldığı ileri sürülse de, bu husus hayatın olağan akışına aykırıdır. </w:t>
      </w:r>
    </w:p>
    <w:p w14:paraId="46663F85"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2. Kararın verildiği tarihten sonraki gelişmelere ve olaylara yer verilerek kararın yazımında hukuksuzluk yapılmıştır.</w:t>
      </w:r>
    </w:p>
    <w:p w14:paraId="5B9FAEC1"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lastRenderedPageBreak/>
        <w:t>3. Kararın ilgililere neden verilmediği ve soruşturma dosyalarına niçin eklenmediği izah edilmemiştir.</w:t>
      </w:r>
    </w:p>
    <w:p w14:paraId="18000000"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4. Karar içeriğinde toplamda 200'e yakın hâkim ve savcıya yönelik isnatta bulunulmasına rağmen, 2745 hâkim ve savcının ismine listede yer verilmiştir.</w:t>
      </w:r>
    </w:p>
    <w:p w14:paraId="530CCA54"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5.</w:t>
      </w:r>
      <w:r w:rsidRPr="00A40242">
        <w:rPr>
          <w:rFonts w:ascii="Palatino Linotype" w:eastAsia="Times New Roman" w:hAnsi="Palatino Linotype" w:cs="Times New Roman"/>
          <w:color w:val="FF0000"/>
          <w:sz w:val="21"/>
          <w:szCs w:val="21"/>
        </w:rPr>
        <w:t xml:space="preserve"> </w:t>
      </w:r>
      <w:r w:rsidRPr="00A40242">
        <w:rPr>
          <w:rFonts w:ascii="Palatino Linotype" w:eastAsia="Times New Roman" w:hAnsi="Palatino Linotype" w:cs="Times New Roman"/>
          <w:sz w:val="21"/>
          <w:szCs w:val="21"/>
        </w:rPr>
        <w:t>Kararda, bazı hâkim ve savcıların kararlarını gerekçelendirmemeleri ve kişiselleştirme yapmamaları eleştirilirken, 2500'den fazla hâkim ve savcı hakkında da hiçbir kişiselleştirme ve gerekçelendirme yapılmamıştır.</w:t>
      </w:r>
    </w:p>
    <w:p w14:paraId="2CBAD98D" w14:textId="77777777" w:rsidR="00936167" w:rsidRPr="00A40242" w:rsidRDefault="00936167" w:rsidP="00936167">
      <w:pPr>
        <w:pStyle w:val="ListeParagraf"/>
        <w:spacing w:before="120" w:after="120" w:line="240" w:lineRule="auto"/>
        <w:ind w:left="0"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6.Karar alınırken her bir hâkim ve savcıya bir dakika ayrılmış olsa dahi görüşmenin en az 45 saat sürmesi gerekirken, fişleme listeleri dikkate aldığından görüşme birkaç saatte bitirilmiştir.</w:t>
      </w:r>
    </w:p>
    <w:p w14:paraId="1738B251" w14:textId="77777777" w:rsidR="00936167" w:rsidRPr="00A40242" w:rsidRDefault="00936167" w:rsidP="00936167">
      <w:pPr>
        <w:pStyle w:val="Balk1"/>
        <w:numPr>
          <w:ilvl w:val="0"/>
          <w:numId w:val="39"/>
        </w:numPr>
        <w:spacing w:before="120" w:after="120" w:line="240" w:lineRule="auto"/>
        <w:ind w:left="993" w:hanging="426"/>
        <w:rPr>
          <w:rFonts w:cstheme="minorHAnsi"/>
          <w:color w:val="auto"/>
          <w:sz w:val="21"/>
          <w:szCs w:val="21"/>
        </w:rPr>
      </w:pPr>
      <w:bookmarkStart w:id="3" w:name="_Toc7451321"/>
      <w:r w:rsidRPr="00A40242">
        <w:rPr>
          <w:rFonts w:cstheme="minorHAnsi"/>
          <w:color w:val="auto"/>
          <w:sz w:val="21"/>
          <w:szCs w:val="21"/>
        </w:rPr>
        <w:t>HSYK GENEL KURULUNUN ALDIĞI MESLEKTEN ÇIKARMA KARARIN GEREKÇESİ</w:t>
      </w:r>
      <w:bookmarkEnd w:id="3"/>
    </w:p>
    <w:p w14:paraId="751D9AD3"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 xml:space="preserve">HSYK Genel Kurulu, 16/7/2016 tarihinde açığa aldığı hâkim ve savcıları 667 sayılı OHAL KHK'sinin 3. maddesine dayanarak meslekten çıkardığı kararında; </w:t>
      </w:r>
      <w:r w:rsidRPr="00A40242">
        <w:rPr>
          <w:rFonts w:ascii="Palatino Linotype" w:hAnsi="Palatino Linotype" w:cstheme="minorHAnsi"/>
          <w:i/>
          <w:sz w:val="21"/>
          <w:szCs w:val="21"/>
        </w:rPr>
        <w:t xml:space="preserve">"KHK'nin 3'üncü ve 4'üncü maddelerinde öngörülen meslekten ve kamu görevinden çıkarma; adli suç ve disiplin suçu işlenmesi karşılığında uygulanan yaptırımlardan farklı olarak terör örgütleri ile milli güvenliğe karşı faaliyette bulunduğu kabul edilen diğer yapıların kamu kurum ve kuruluşlarındaki varlığını ortadan kaldırmayı amaçlayan, </w:t>
      </w:r>
      <w:r w:rsidRPr="00A40242">
        <w:rPr>
          <w:rFonts w:ascii="Palatino Linotype" w:hAnsi="Palatino Linotype" w:cstheme="minorHAnsi"/>
          <w:i/>
          <w:sz w:val="21"/>
          <w:szCs w:val="21"/>
          <w:u w:val="single"/>
        </w:rPr>
        <w:t>geçici olmayan</w:t>
      </w:r>
      <w:r w:rsidRPr="00A40242">
        <w:rPr>
          <w:rFonts w:ascii="Palatino Linotype" w:hAnsi="Palatino Linotype" w:cstheme="minorHAnsi"/>
          <w:i/>
          <w:sz w:val="21"/>
          <w:szCs w:val="21"/>
        </w:rPr>
        <w:t xml:space="preserve"> ve </w:t>
      </w:r>
      <w:r w:rsidRPr="00A40242">
        <w:rPr>
          <w:rFonts w:ascii="Palatino Linotype" w:hAnsi="Palatino Linotype" w:cstheme="minorHAnsi"/>
          <w:i/>
          <w:sz w:val="21"/>
          <w:szCs w:val="21"/>
          <w:u w:val="single"/>
        </w:rPr>
        <w:t>nihai sonuç doğuran</w:t>
      </w:r>
      <w:r w:rsidRPr="00A40242">
        <w:rPr>
          <w:rFonts w:ascii="Palatino Linotype" w:hAnsi="Palatino Linotype" w:cstheme="minorHAnsi"/>
          <w:i/>
          <w:sz w:val="21"/>
          <w:szCs w:val="21"/>
        </w:rPr>
        <w:t xml:space="preserve"> "olağanüstü tedbir niteliğindedir"</w:t>
      </w:r>
      <w:r w:rsidRPr="00A40242">
        <w:rPr>
          <w:rFonts w:ascii="Palatino Linotype" w:hAnsi="Palatino Linotype" w:cstheme="minorHAnsi"/>
          <w:sz w:val="21"/>
          <w:szCs w:val="21"/>
        </w:rPr>
        <w:t xml:space="preserve"> demiş ve gerekçede şu hususlara yer vermiştir; </w:t>
      </w:r>
      <w:r w:rsidRPr="00A40242">
        <w:rPr>
          <w:rFonts w:ascii="Palatino Linotype" w:hAnsi="Palatino Linotype" w:cstheme="minorHAnsi"/>
          <w:i/>
          <w:sz w:val="21"/>
          <w:szCs w:val="21"/>
        </w:rPr>
        <w:t xml:space="preserve">"Hakimler ve Savcılar Yüksek Kurulu Genel Kurulunun, 667 sayılı KHK'nin 3'üncü maddesi uyarınca yapacağı değerlendirme, hakim ve Cumhuriyet savcılarının Milli Güvenlik Kurulunca devletin milli güvenliğine karşı faaliyette bulunduğuna karar verilen yapı, oluşum veya gruplardan MGK kararlarında ifade edildiği şekliyle ''Paralel Devlet Yapılanması'' ile ''üyelik'', ''mensubiyet", ''iltisak'' veya ''irtibat'' şeklinde herhangi bir bağlantılarının bulunup bulunmadığına ilişkin olup somut olayın yukarıda ifade edilen özellikleri, ilgililerin mesleğe kabulleri ile başlayan, eğitim merkezi ve Türkiye Adalet Akademisi'ndeki faaliyetleri, hizmet içi eğitim veya yabancı dil eğitimlerine katılmalarına, yurt dışına gönderilmelerine, özel yetkili savcılıklara veya mahkemelere yahut idari görevlere atanmalarına ilişkin bilgiler ile bu görevlendirmelerde ve yine bir silah olarak kullanılan özel yetkili mahkemelere hakim veya unvanlı olarak, Teftiş Kurulu Başkanlığına başkan, başkan yardımcısı, müfettiş sıfatıyla idari kurumlara tetkik hakimi, daire başkanı ve yardımcısı, genel müdür veya yardımcısı sıfatıyla v.s. şeklinde yapılan atamalarda dikkate alınan kriterler, özlük dosyasındaki bilgi ve belgeler, sosyal medya hesaplarındaki paylaşımlar, ilgililer hakkında Hakimler ve Savcılar Yüksek Kurulu'na intikal eden şikayet, ihbar, inceleme ve soruşturma dosyaları ile bu dosyalar hakkında verilen kararlar, mahallinde yapılan araştırmalar, FETÖ-PDY terör örgütü ile ilintili dosyalarda görev alan hakim ve Cumhuriyet savcılarının bu dosyalarda yapmış oldukları işlemler ve verilen kararlar, örgüt mensuplarının haberleşme için kullandıkları şifreli programlarda yer alan kayıtlar, Hakimler ve Savcılar Yüksek Kurulunun FETÖ-PDY mensubu oldukları Emniyet Genel Müdürlüğü terörle mücadele birimleriyle düzenlenen raporlarla sabit olan örgüt üyeleri hakkında tayin ettiği disiplin cezaları ve muhalefet şerhleri, sosyal çevre bilgileri ve Ankara Cumhuriyet Başsavcılığından temin edilen bilgi ve belgeler, ilgililer hakkında Ankara Cumhuriyet Başsavcılığınca başlatılan soruşturmanın niteliği ve isnat edilen suçlamalarla gözaltı ve tutuklama kararları, soruşturma kapsamında ifadelerine başvurulan hakim ve Cumhuriyet savcılarının ifade ve sorgu tutanakları, itirafçı beyanları birlikte dikkate alınarak, ekli listede yer alan hakim ve Cumhuriyet savcılarının 667 sayılı KHK'nin 3. maddesinin 1 numaralı fıkrası kapsamında FETÖ/PDY örgütüyle iltisak ve irtibatlarının olduğu sabit görüldüğünden, adı geçenlerin 23/07/2016 tarih ve 29779 sayılı Resmi Gazetede yayımlanan 667 sayılı olağanüstü hal kapsamında alınan tedbirlere ilişkin KHK'nin 3.maddesi uyarınca MESLEKTE KALMALARININ UYGUN OLMADIĞINA ve ayrı ayrı olarak MESLEKTEN ÇIKARILMALARINA, 6087 sayılı Kanunun 33. maddesi uyarınca, kararın tebliğ tarihinden itibaren 10 </w:t>
      </w:r>
      <w:r w:rsidRPr="00A40242">
        <w:rPr>
          <w:rFonts w:ascii="Palatino Linotype" w:hAnsi="Palatino Linotype" w:cstheme="minorHAnsi"/>
          <w:i/>
          <w:sz w:val="21"/>
          <w:szCs w:val="21"/>
        </w:rPr>
        <w:lastRenderedPageBreak/>
        <w:t>gün içerisinde HSYK Genel Kurulu nezdinde yeniden inceleme talebinde bulunulabileceğine 28/08/2016 tarihinde oy birliğiyle karar verildi</w:t>
      </w:r>
      <w:r w:rsidRPr="00A40242">
        <w:rPr>
          <w:rFonts w:ascii="Palatino Linotype" w:hAnsi="Palatino Linotype" w:cstheme="minorHAnsi"/>
          <w:sz w:val="21"/>
          <w:szCs w:val="21"/>
        </w:rPr>
        <w:t>.''</w:t>
      </w:r>
      <w:r w:rsidRPr="00A40242">
        <w:rPr>
          <w:rStyle w:val="DipnotBavurusu1"/>
          <w:rFonts w:ascii="Palatino Linotype" w:hAnsi="Palatino Linotype" w:cstheme="minorHAnsi"/>
          <w:sz w:val="21"/>
          <w:szCs w:val="21"/>
        </w:rPr>
        <w:footnoteReference w:id="15"/>
      </w:r>
    </w:p>
    <w:p w14:paraId="0BC982D9" w14:textId="77777777" w:rsidR="00936167" w:rsidRPr="00A40242" w:rsidRDefault="00936167" w:rsidP="00936167">
      <w:pPr>
        <w:pStyle w:val="Balk1"/>
        <w:numPr>
          <w:ilvl w:val="0"/>
          <w:numId w:val="39"/>
        </w:numPr>
        <w:spacing w:before="120" w:after="120" w:line="240" w:lineRule="auto"/>
        <w:ind w:left="993" w:hanging="426"/>
        <w:rPr>
          <w:rFonts w:cstheme="minorHAnsi"/>
          <w:color w:val="auto"/>
          <w:sz w:val="21"/>
          <w:szCs w:val="21"/>
        </w:rPr>
      </w:pPr>
      <w:bookmarkStart w:id="4" w:name="_Toc7451322"/>
      <w:r w:rsidRPr="00A40242">
        <w:rPr>
          <w:rFonts w:cstheme="minorHAnsi"/>
          <w:color w:val="auto"/>
          <w:sz w:val="21"/>
          <w:szCs w:val="21"/>
        </w:rPr>
        <w:t>HSYK GENEL KURULUNUN ALDIĞI KARARIN AİHS KAPSAMINDA DEĞERLENDİRİLMESİ</w:t>
      </w:r>
      <w:bookmarkEnd w:id="4"/>
    </w:p>
    <w:p w14:paraId="4CAD6B6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Bu bölümde, verilen kararın AİHS kapsamında ve AİHM kararları ışığında değerlendirilmesine yer verilmiştir.</w:t>
      </w:r>
    </w:p>
    <w:p w14:paraId="33FE9E45" w14:textId="77777777" w:rsidR="00936167" w:rsidRPr="00936167" w:rsidRDefault="00936167" w:rsidP="00936167">
      <w:pPr>
        <w:pStyle w:val="Balk2"/>
        <w:numPr>
          <w:ilvl w:val="0"/>
          <w:numId w:val="40"/>
        </w:numPr>
        <w:spacing w:before="120" w:after="120" w:line="240" w:lineRule="auto"/>
        <w:ind w:left="993" w:hanging="426"/>
        <w:rPr>
          <w:rFonts w:cstheme="minorHAnsi"/>
          <w:b/>
          <w:bCs/>
          <w:sz w:val="21"/>
          <w:szCs w:val="21"/>
        </w:rPr>
      </w:pPr>
      <w:bookmarkStart w:id="5" w:name="_Toc7451323"/>
      <w:r w:rsidRPr="00936167">
        <w:rPr>
          <w:rFonts w:cstheme="minorHAnsi"/>
          <w:b/>
          <w:bCs/>
          <w:sz w:val="21"/>
          <w:szCs w:val="21"/>
        </w:rPr>
        <w:t>ADİL YARGILANMA HAKKI AÇISINDAN KARARIN DEĞERLENDİRİLMESİ</w:t>
      </w:r>
      <w:bookmarkEnd w:id="5"/>
    </w:p>
    <w:p w14:paraId="4A0A91F6" w14:textId="77777777" w:rsidR="00936167" w:rsidRPr="00A40242" w:rsidRDefault="00936167" w:rsidP="00936167">
      <w:pPr>
        <w:pStyle w:val="Balk3"/>
        <w:numPr>
          <w:ilvl w:val="0"/>
          <w:numId w:val="41"/>
        </w:numPr>
        <w:spacing w:before="120" w:after="120" w:line="240" w:lineRule="auto"/>
        <w:ind w:left="993" w:hanging="426"/>
        <w:rPr>
          <w:rFonts w:cstheme="minorHAnsi"/>
          <w:color w:val="auto"/>
          <w:sz w:val="21"/>
          <w:szCs w:val="21"/>
        </w:rPr>
      </w:pPr>
      <w:bookmarkStart w:id="6" w:name="_Toc7451324"/>
      <w:r w:rsidRPr="00A40242">
        <w:rPr>
          <w:rFonts w:cstheme="minorHAnsi"/>
          <w:color w:val="auto"/>
          <w:sz w:val="21"/>
          <w:szCs w:val="21"/>
        </w:rPr>
        <w:t>Hakkın Kapsamı ve Özellikler</w:t>
      </w:r>
      <w:bookmarkEnd w:id="6"/>
    </w:p>
    <w:p w14:paraId="128E5C7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Adil yargılanma hakkı AİHS'in 6. ve Anayasa'nın 36/1. maddelerinde düzenlenmiştir. Sözleşme'nin 6. maddesinin çalışmayı ilgilendiren kısımları 1., 2. fıkraları ile 3. fıkrasının a, b, c ve d bentleridir. 1. fıkrada; </w:t>
      </w:r>
      <w:r w:rsidRPr="00A40242">
        <w:rPr>
          <w:rFonts w:ascii="Palatino Linotype" w:hAnsi="Palatino Linotype" w:cstheme="minorHAnsi"/>
          <w:i/>
          <w:sz w:val="21"/>
          <w:szCs w:val="21"/>
        </w:rPr>
        <w:t xml:space="preserve">"Herkes, gerek medeni hak ve yükümlülükleriyle ilgili nizalar, gerek cezai alanda kendisine yöneltilen suçlamalar konusunda karar verecek olan, yasayla kurulmuş bağımsız ve tarafsız mahkeme tarafından davasının makul bir süre içinde, hakkaniyete uygun ve açık olarak görülmesini istemek hakkına sahiptir" </w:t>
      </w:r>
      <w:r w:rsidRPr="00A40242">
        <w:rPr>
          <w:rFonts w:ascii="Palatino Linotype" w:hAnsi="Palatino Linotype" w:cstheme="minorHAnsi"/>
          <w:sz w:val="21"/>
          <w:szCs w:val="21"/>
        </w:rPr>
        <w:t xml:space="preserve">denilmek suretiyle mahkemeye erişim hakkı düzenlenmiştir. 2. fıkrada masumiyet karinesine,3. fıkranın a, b, c ve d bentlerinde de savunma hakkına yer verilmiştir.  </w:t>
      </w:r>
    </w:p>
    <w:p w14:paraId="7A7F043E"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 xml:space="preserve"> Adil yargılanma hakkı, yargılamaya ilişkin usul kurallarının belirlenerek objektif bir yargılama neticesinde adil ve hakkaniyete uygun bir karara ulaşılmasını hedefleyen ve bu yönüyle de hukuk devletinin temel unsurlarından olan bir haktır.</w:t>
      </w:r>
      <w:r w:rsidRPr="00A40242">
        <w:rPr>
          <w:rStyle w:val="DipnotBavurusu1"/>
          <w:rFonts w:ascii="Palatino Linotype" w:hAnsi="Palatino Linotype" w:cstheme="minorHAnsi"/>
          <w:sz w:val="21"/>
          <w:szCs w:val="21"/>
        </w:rPr>
        <w:footnoteReference w:id="16"/>
      </w:r>
    </w:p>
    <w:p w14:paraId="75D2C0BF"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Sözleşme'nin 6. maddesinin 1. fıkrasında adil yargılanma hakkının unsurlarına yer verilmiş olup, bunlar; yargılamanın kanunla kurulmuş tarafsız ve bağımsız bir mahkeme tarafından, makul bir sürede, aleni olarak ve hakkaniyete uygun şekilde yapılmasıdır. Ayrıca AİHM, 6. maddenin 1. fıkrasında yer verilmeyen bazı hakların da adil yargılanma hakkı kapsamında olduğunu belirtmiştir. Bu haklar; mahkemeye başvuru ve erişim hakkı, çekişmeli yargılama ve silahların eşitliği ilkeleri, kararların gerekçeli olması, yargılamaya etkili katılma, duruşmalarda hazır bulunma ve susma hakkıdır.</w:t>
      </w:r>
      <w:r w:rsidRPr="00A40242">
        <w:rPr>
          <w:rStyle w:val="DipnotBavurusu1"/>
          <w:rFonts w:ascii="Palatino Linotype" w:hAnsi="Palatino Linotype" w:cstheme="minorHAnsi"/>
          <w:sz w:val="21"/>
          <w:szCs w:val="21"/>
        </w:rPr>
        <w:footnoteReference w:id="17"/>
      </w:r>
    </w:p>
    <w:p w14:paraId="313953E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AİHS'in 6. maddesinin 2. fıkrasında masumiyet karinesine, 3. fıkrasında da 1. fıkradaki genel ilkeyle ilgili olan ve hakkında suç isnadı bulunan kişinin sahip olduğu asgari haklara yer verilmiştir. 2. ve 3. fıkrada yer alan hususlar ağırlıklı olarak ceza yargılamasında gündeme gelecek hususlar olmakla birlikte, AİHM 2. ve 3. fıkrada belirtilen haklarla ilgili ihlal iddialarına ilişkin incelemeyi sadece bu fıkralarla sınırlı yapmayıp, hakkaniyete uygun yargılama yapılmasını öngören 1. fıkrayla bağlantılı olarak da yapabilmektedir.</w:t>
      </w:r>
      <w:r w:rsidRPr="00A40242">
        <w:rPr>
          <w:rStyle w:val="DipnotBavurusu1"/>
          <w:rFonts w:ascii="Palatino Linotype" w:hAnsi="Palatino Linotype" w:cstheme="minorHAnsi"/>
          <w:sz w:val="21"/>
          <w:szCs w:val="21"/>
        </w:rPr>
        <w:footnoteReference w:id="18"/>
      </w:r>
    </w:p>
    <w:p w14:paraId="7F5489C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Adil yargılanma hakkının uygulama alanı, AİHS'te kişisel hak ve yükümlülükler ve suç isnadı ile sınırlandırılsa da, Anayasa'da böyle bir sınırlamaya yer verilmemiş ve hakkın </w:t>
      </w:r>
      <w:r w:rsidRPr="00A40242">
        <w:rPr>
          <w:rFonts w:ascii="Palatino Linotype" w:hAnsi="Palatino Linotype" w:cstheme="minorHAnsi"/>
          <w:sz w:val="21"/>
          <w:szCs w:val="21"/>
        </w:rPr>
        <w:lastRenderedPageBreak/>
        <w:t>uygulama alanı daraltılmamıştır. Yani, Anayasa'ya göre her türlü davada adil yargılanma hakkının ihlali ileri sürülebilir.</w:t>
      </w:r>
      <w:r w:rsidRPr="00A40242">
        <w:rPr>
          <w:rStyle w:val="DipnotBavurusu1"/>
          <w:rFonts w:ascii="Palatino Linotype" w:hAnsi="Palatino Linotype" w:cstheme="minorHAnsi"/>
          <w:sz w:val="21"/>
          <w:szCs w:val="21"/>
        </w:rPr>
        <w:footnoteReference w:id="19"/>
      </w:r>
    </w:p>
    <w:p w14:paraId="69366E5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eastAsiaTheme="minorHAnsi" w:hAnsi="Palatino Linotype" w:cs="Times New Roman"/>
          <w:sz w:val="21"/>
          <w:szCs w:val="21"/>
          <w:lang w:eastAsia="en-US"/>
        </w:rPr>
        <w:t>Hakkın kapsamı ve özellikleriyle ilgili yapılan açıklamalardan sonra, çalışmaya konu tedbirin cezai nitelik taşıyıp taşımadığına ve medeni hak ve yükümlülüklere ilişkin olup olmadığına değinilmesinde fayda bulunmaktadır.</w:t>
      </w:r>
    </w:p>
    <w:p w14:paraId="68349BF5" w14:textId="77777777" w:rsidR="00936167" w:rsidRPr="00936167" w:rsidRDefault="00936167" w:rsidP="00936167">
      <w:pPr>
        <w:pStyle w:val="Balk4"/>
        <w:numPr>
          <w:ilvl w:val="1"/>
          <w:numId w:val="40"/>
        </w:numPr>
        <w:spacing w:before="120" w:after="120" w:line="240" w:lineRule="auto"/>
        <w:ind w:left="993" w:hanging="426"/>
        <w:jc w:val="both"/>
        <w:rPr>
          <w:rFonts w:ascii="Palatino Linotype" w:hAnsi="Palatino Linotype" w:cstheme="minorHAnsi"/>
          <w:b/>
          <w:bCs/>
          <w:i w:val="0"/>
          <w:color w:val="auto"/>
          <w:sz w:val="21"/>
          <w:szCs w:val="21"/>
        </w:rPr>
      </w:pPr>
      <w:r w:rsidRPr="00936167">
        <w:rPr>
          <w:rFonts w:ascii="Palatino Linotype" w:hAnsi="Palatino Linotype" w:cstheme="minorHAnsi"/>
          <w:b/>
          <w:bCs/>
          <w:i w:val="0"/>
          <w:color w:val="auto"/>
          <w:sz w:val="21"/>
          <w:szCs w:val="21"/>
        </w:rPr>
        <w:t>Meslekten Çıkarma Kararı Cezai Nitelikli Bir Yaptırım mıdır?</w:t>
      </w:r>
    </w:p>
    <w:p w14:paraId="454FEC5B" w14:textId="77777777" w:rsidR="00936167" w:rsidRPr="00A40242" w:rsidRDefault="00936167" w:rsidP="00936167">
      <w:pPr>
        <w:autoSpaceDE w:val="0"/>
        <w:autoSpaceDN w:val="0"/>
        <w:adjustRightInd w:val="0"/>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Meslekten çıkarma işleminin idari mi yoksa cezai bir yaptırım mı olduğunun tespitinde yarar vardır. Zira bu tespite göre işlem hakkında uygulanacak hukuk belirlenecek ve işlemin cezai yaptırım olduğunun kabulü halinde bu yaptırımla ilgili ceza muhakemesinde öngörülen teminatların uygulanması gündeme gelecektir. </w:t>
      </w:r>
      <w:r w:rsidRPr="00A40242">
        <w:rPr>
          <w:rFonts w:ascii="Palatino Linotype" w:hAnsi="Palatino Linotype" w:cs="Times New Roman"/>
          <w:sz w:val="21"/>
          <w:szCs w:val="21"/>
        </w:rPr>
        <w:t xml:space="preserve">Hukuki olarak ihraç kararı her hangi bir mahkûmiyet kararı aranmaksızın uygulanabilmesi nedeniyle idari bir yaptırım gibi görülebilir. </w:t>
      </w:r>
      <w:r w:rsidRPr="00A40242">
        <w:rPr>
          <w:rFonts w:ascii="Palatino Linotype" w:hAnsi="Palatino Linotype" w:cstheme="minorHAnsi"/>
          <w:sz w:val="21"/>
          <w:szCs w:val="21"/>
        </w:rPr>
        <w:t xml:space="preserve">Ancak, bu konudaki tespiti yapacak merci AİHM'dir ve AİHM iç hukuktaki nitelendirmeyi tek başına yeterli görmemektedir. AİHS'in 6/1. maddesinde yer verilen </w:t>
      </w:r>
      <w:r w:rsidRPr="00A40242">
        <w:rPr>
          <w:rFonts w:ascii="Palatino Linotype" w:hAnsi="Palatino Linotype" w:cstheme="minorHAnsi"/>
          <w:i/>
          <w:sz w:val="21"/>
          <w:szCs w:val="21"/>
        </w:rPr>
        <w:t>"cezai alanda kendisine yöneltilen suçlamalar"</w:t>
      </w:r>
      <w:r w:rsidRPr="00A40242">
        <w:rPr>
          <w:rFonts w:ascii="Palatino Linotype" w:hAnsi="Palatino Linotype" w:cstheme="minorHAnsi"/>
          <w:sz w:val="21"/>
          <w:szCs w:val="21"/>
        </w:rPr>
        <w:t xml:space="preserve"> kavramını ve bu kavramla bağlantılı olarak uygulanan idari yaptırımı AİHM iç hukuktan bağımsız olarak ceza hukuku kapsamında görüp, ilgiliye adil yargılanma hakkının tanıdığı güvencelerin sunulup sunulmadığını inceleyebilir. </w:t>
      </w:r>
    </w:p>
    <w:p w14:paraId="262B3D8C" w14:textId="77777777" w:rsidR="00936167" w:rsidRPr="00A40242" w:rsidRDefault="00936167" w:rsidP="00936167">
      <w:pPr>
        <w:autoSpaceDE w:val="0"/>
        <w:autoSpaceDN w:val="0"/>
        <w:adjustRightInd w:val="0"/>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AİHM, bir yaptırımın cezai niteliğini belirlerken; yargılama usulünün iç hukuktaki sınıflandırılmasına, suçun vasıf ve mahiyeti ile verilmesi muhtemel cezanın ağırlığına bakmakta, </w:t>
      </w:r>
      <w:r w:rsidRPr="00A40242">
        <w:rPr>
          <w:rFonts w:ascii="Palatino Linotype" w:hAnsi="Palatino Linotype" w:cs="Times New Roman"/>
          <w:sz w:val="21"/>
          <w:szCs w:val="21"/>
        </w:rPr>
        <w:t>suçun vasıf ve mahiyetini belirlerken de yaptırımın belli bir gruba mı, yoksa genele mi yönelik olduğunu, icrai nitelikli karar almaya yetkili bir makam tarafından alınıp alınmadığını, cezalandırma amacı taşıyıp taşımadığını ve bir suç tespitine dayanıp dayanmadığını incelemektedir.</w:t>
      </w:r>
      <w:r w:rsidRPr="00A40242">
        <w:rPr>
          <w:rStyle w:val="DipnotBavurusu"/>
          <w:rFonts w:ascii="Palatino Linotype" w:hAnsi="Palatino Linotype" w:cstheme="minorHAnsi"/>
          <w:sz w:val="21"/>
          <w:szCs w:val="21"/>
        </w:rPr>
        <w:footnoteReference w:id="20"/>
      </w:r>
      <w:r w:rsidRPr="00A40242">
        <w:rPr>
          <w:rFonts w:ascii="Palatino Linotype" w:hAnsi="Palatino Linotype" w:cstheme="minorHAnsi"/>
          <w:sz w:val="21"/>
          <w:szCs w:val="21"/>
        </w:rPr>
        <w:t xml:space="preserve"> Ülkemizle ilgili verdiği bir kararında; “...</w:t>
      </w:r>
      <w:r w:rsidRPr="00A40242">
        <w:rPr>
          <w:rFonts w:ascii="Palatino Linotype" w:eastAsia="PalatinoLinotype-Italic" w:hAnsi="Palatino Linotype" w:cstheme="minorHAnsi"/>
          <w:i/>
          <w:iCs/>
          <w:sz w:val="21"/>
          <w:szCs w:val="21"/>
        </w:rPr>
        <w:t>başvurucu Sosyal Güvenlik Kanunu’nun 140. maddesi uyarınca sigortasız işçi çalıştırmaktan idari para cezasına çarptırılmıştır. Türk hukukunda, başvuranın suçlandığı olay, ceza hukuku alanına girmemektedir ...İlgili tarafından çiğnenen hukuki kural, vergi mükellefi sıfatıyla tüm vatandaşlar için geçerlidir... İhtilaflı para cezası, bir zararın maddi olarak tazmin edilmesine yönelik olmayıp suç unsuru davranışın tekrarının engellenmesi için cezalandırma amacı taşımaktadır. Bu durumda başvuran tarafından çiğnenen yasal düzenlenmenin genel niteliği ile uygulanan yaptırımın önleyici ve zorlayıcı bir amaç taşıması ihtilaflı kabahatin cezai niteliğinin İHAS’ın 6. maddesi bakımından ortaya konması için yeterlidir... Üçüncü ilkeye ilişkin olarak ise İHAM, başvuranın çarptırıldığı para cezasının hafif olmasının, İHAS’ın 6. maddesinin uygulanma alanı üzerinde bir etkisi olmadığı kanaatindedir. Bu noktada İHAM, ortada göreli olarak önemsiz bir durum olmasının bir kabahatin cezai niteliğini ortadan kaldırmaya yeterli olmadığını hatırlatmanın uygun olacağı kanaatindedir</w:t>
      </w:r>
      <w:r w:rsidRPr="00A40242">
        <w:rPr>
          <w:rFonts w:ascii="Palatino Linotype" w:eastAsia="PalatinoLinotype-Italic" w:hAnsi="Palatino Linotype" w:cstheme="minorHAnsi"/>
          <w:sz w:val="21"/>
          <w:szCs w:val="21"/>
        </w:rPr>
        <w:t>” demiştir.</w:t>
      </w:r>
      <w:r w:rsidRPr="00A40242">
        <w:rPr>
          <w:rStyle w:val="DipnotBavurusu"/>
          <w:rFonts w:ascii="Palatino Linotype" w:eastAsia="PalatinoLinotype-Italic" w:hAnsi="Palatino Linotype" w:cstheme="minorHAnsi"/>
          <w:sz w:val="21"/>
          <w:szCs w:val="21"/>
        </w:rPr>
        <w:footnoteReference w:id="21"/>
      </w:r>
    </w:p>
    <w:p w14:paraId="63E4D935"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 xml:space="preserve">Cezai nitelik taşıyan eylemler herkes tarafından, disiplin hukukuna ilişkin eylemler ise belli nitelikleri haiz kişilerce gerçekleştirilebilir ve disiplin hukuku genellikle bir kurumun iç işleyişiyle ilgilidir. </w:t>
      </w:r>
      <w:r w:rsidRPr="00A40242">
        <w:rPr>
          <w:rFonts w:ascii="Palatino Linotype" w:hAnsi="Palatino Linotype" w:cs="Times New Roman"/>
          <w:sz w:val="21"/>
          <w:szCs w:val="21"/>
        </w:rPr>
        <w:t>AİHM, disiplin hukuku kapsamında uygulanan yaptırımın niteliği, süresi ve uygulanış tarzını dikkate alarak, caydırıcı bir amaç taşıdığını tespit ederse cezai nitelikli kabul etmektedir.</w:t>
      </w:r>
      <w:r w:rsidRPr="00A40242">
        <w:rPr>
          <w:rStyle w:val="DipnotBavurusu"/>
          <w:rFonts w:ascii="Palatino Linotype" w:hAnsi="Palatino Linotype" w:cstheme="minorHAnsi"/>
          <w:sz w:val="21"/>
          <w:szCs w:val="21"/>
        </w:rPr>
        <w:footnoteReference w:id="22"/>
      </w:r>
    </w:p>
    <w:p w14:paraId="5D6DACA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imes New Roman"/>
          <w:sz w:val="21"/>
          <w:szCs w:val="21"/>
        </w:rPr>
        <w:t>Polonya'da temizleme davaları olarak bilinen ve toplu biçimde kamu görevinden çıkarma şeklinde uygulanan tedbir ile komünist rejim sırasında KGB ajanı olarak çalışan ve geçmişiyle ilgili yalan beyanda bulunduğu iddia edilen kişilere, her hangi bir hapis ya da para cezası verilmese de, on yıla kadar kamu hizmetinde ve özel sektörün büyük bir kısmında çalışma ve siyasi faaliyette bulunma yasağı getirilmiştir. Getirilen yasak iç hukukta cezai yaptırım olarak kabul edilmese de, AİHM uygulanan muhakeme usulünün ceza yargılamasına çok benzemesini, işlendiği iddia edilen suçun vasıf ve mahiyeti ile verilen cezanın ağırlığını dikkate almış, başvurucunun kamuoyunda güvenilmez ve yalancı biri olarak gösterilerek birçok mesleği yapabilmek için aranan temiz ve lekesiz bir geçmişe sahip olma özelliğini kaybettiğini ve meslekten çıkarılması yanında on yıl süreyle pek çok görevi yapamayacak olmasının ağır bir cezai yaptırım olduğunu belirterek adil yargılanma hakkının ihlaline karar vermiştir</w:t>
      </w:r>
      <w:r w:rsidRPr="00A40242">
        <w:rPr>
          <w:rStyle w:val="DipnotBavurusu"/>
          <w:rFonts w:ascii="Palatino Linotype" w:hAnsi="Palatino Linotype" w:cstheme="minorHAnsi"/>
          <w:sz w:val="21"/>
          <w:szCs w:val="21"/>
        </w:rPr>
        <w:footnoteReference w:id="23"/>
      </w:r>
    </w:p>
    <w:p w14:paraId="538674A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HSYK kararındaki hususlar bir bütün olarak değerlendirildiğinde, bu kararın cezai bir yaptırım olduğu ve ilgililere ceza yargılamasındaki güvencelerin tanınması gerektiği açıktır. Ancak, karar verilirken bu güvencelerin hiç birisi tanınmamıştır. Ayrıca, isnat edilen suçun vasıf ve mahiyeti ile ağırlığı dikkate alındığında cezai niteliği Polonya'dakinden çok daha fazladır. Bir kere, yaptırıma sebep olan eylem </w:t>
      </w:r>
      <w:r w:rsidRPr="00A40242">
        <w:rPr>
          <w:rFonts w:ascii="Palatino Linotype" w:hAnsi="Palatino Linotype" w:cstheme="minorHAnsi"/>
          <w:i/>
          <w:sz w:val="21"/>
          <w:szCs w:val="21"/>
        </w:rPr>
        <w:t>"terör örgütlerine veya Milli Güvenlik Kurulunca devletin milli güvenliğine karşı faaliyette bulunduğuna karar verilen yapı, oluşum veya gruplara üyeliği, mensubiyeti veya iltisakı ya da bunlarla irtibatı olmaktır."</w:t>
      </w:r>
      <w:r w:rsidRPr="00A40242">
        <w:rPr>
          <w:rFonts w:ascii="Palatino Linotype" w:hAnsi="Palatino Linotype" w:cstheme="minorHAnsi"/>
          <w:sz w:val="21"/>
          <w:szCs w:val="21"/>
        </w:rPr>
        <w:t xml:space="preserve"> Yani, terör örgütü üyeliğidir. Terör örgütü üyeliği ise TCK'nın 314. maddesi gereğince ağır bir cezai yaptırıma bağlanmıştır. Bu suçun salt disiplin suçu olarak kabulü de mümkün değildir. Zira suç sadece kamu görevlileri tarafından değil, herkes tarafından işlenebilir.</w:t>
      </w:r>
    </w:p>
    <w:p w14:paraId="6836755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Yine, bu suçlamaya muhatap olan kişilere uygulanan yaptırım da Polonya'dakinden çok daha ağırdır. Çünkü bu kişiler bir daha girmemek üzere kamu görevinden çıkarılmışlar ve terörist ilan edilip damgalanmışlardır. Ayrıca, yaptırıma konu karar sadece idari bir yaptırım olarak da kalmamış, tutukluluk kararlarına esas teşkil etmiş,</w:t>
      </w:r>
      <w:r w:rsidRPr="00A40242">
        <w:rPr>
          <w:rStyle w:val="DipnotBavurusu"/>
          <w:rFonts w:ascii="Palatino Linotype" w:hAnsi="Palatino Linotype" w:cstheme="minorHAnsi"/>
          <w:sz w:val="21"/>
          <w:szCs w:val="21"/>
        </w:rPr>
        <w:footnoteReference w:id="24"/>
      </w:r>
      <w:r w:rsidRPr="00A40242">
        <w:rPr>
          <w:rFonts w:ascii="Palatino Linotype" w:hAnsi="Palatino Linotype" w:cstheme="minorHAnsi"/>
          <w:sz w:val="21"/>
          <w:szCs w:val="21"/>
        </w:rPr>
        <w:t xml:space="preserve"> hazırlanan iddianamelerin delilleri arasında sayılmış</w:t>
      </w:r>
      <w:r w:rsidRPr="00A40242">
        <w:rPr>
          <w:rStyle w:val="DipnotBavurusu"/>
          <w:rFonts w:ascii="Palatino Linotype" w:hAnsi="Palatino Linotype" w:cstheme="minorHAnsi"/>
          <w:sz w:val="21"/>
          <w:szCs w:val="21"/>
        </w:rPr>
        <w:footnoteReference w:id="25"/>
      </w:r>
      <w:r w:rsidRPr="00A40242">
        <w:rPr>
          <w:rFonts w:ascii="Palatino Linotype" w:hAnsi="Palatino Linotype" w:cstheme="minorHAnsi"/>
          <w:sz w:val="21"/>
          <w:szCs w:val="21"/>
        </w:rPr>
        <w:t xml:space="preserve"> ve kişilerin cezalandırılmasına gerekçe yapılmıştır.</w:t>
      </w:r>
      <w:r w:rsidRPr="00A40242">
        <w:rPr>
          <w:rStyle w:val="DipnotBavurusu"/>
          <w:rFonts w:ascii="Palatino Linotype" w:hAnsi="Palatino Linotype" w:cstheme="minorHAnsi"/>
          <w:sz w:val="21"/>
          <w:szCs w:val="21"/>
        </w:rPr>
        <w:footnoteReference w:id="26"/>
      </w:r>
      <w:r w:rsidRPr="00A40242">
        <w:rPr>
          <w:rFonts w:ascii="Palatino Linotype" w:hAnsi="Palatino Linotype" w:cstheme="minorHAnsi"/>
          <w:sz w:val="21"/>
          <w:szCs w:val="21"/>
        </w:rPr>
        <w:t xml:space="preserve"> </w:t>
      </w:r>
    </w:p>
    <w:p w14:paraId="0C40BE2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imes New Roman"/>
          <w:sz w:val="21"/>
          <w:szCs w:val="21"/>
        </w:rPr>
        <w:lastRenderedPageBreak/>
        <w:t>Venedik Komisyonu'da, AİHM’in arındırmayla ilgili tedbirleri, yasal nitelikleri ve etkileri açısından cezai yaptırım olarak ele almaya hazır olduğunu, zira meslekten çıkarmanın disiplin cezası olarak uygulanan görevden almalardan farklı olduğunu ve bu tedbirle ilgili AİHS’in 6. maddesinde yer alan tüm güvencelerin ilgililere sunulması gerektiğini belirtmiştir</w:t>
      </w:r>
      <w:r w:rsidRPr="00A40242">
        <w:rPr>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27"/>
      </w:r>
    </w:p>
    <w:p w14:paraId="2ACB0049" w14:textId="77777777" w:rsidR="00936167" w:rsidRPr="00595617" w:rsidRDefault="00936167" w:rsidP="00936167">
      <w:pPr>
        <w:pStyle w:val="Balk4"/>
        <w:numPr>
          <w:ilvl w:val="1"/>
          <w:numId w:val="40"/>
        </w:numPr>
        <w:spacing w:before="120" w:after="120" w:line="240" w:lineRule="auto"/>
        <w:ind w:left="993" w:hanging="426"/>
        <w:jc w:val="both"/>
        <w:rPr>
          <w:rFonts w:ascii="Palatino Linotype" w:hAnsi="Palatino Linotype" w:cstheme="minorHAnsi"/>
          <w:b/>
          <w:bCs/>
          <w:i w:val="0"/>
          <w:color w:val="auto"/>
          <w:sz w:val="21"/>
          <w:szCs w:val="21"/>
        </w:rPr>
      </w:pPr>
      <w:r w:rsidRPr="00595617">
        <w:rPr>
          <w:rFonts w:ascii="Palatino Linotype" w:hAnsi="Palatino Linotype" w:cstheme="minorHAnsi"/>
          <w:b/>
          <w:bCs/>
          <w:i w:val="0"/>
          <w:color w:val="auto"/>
          <w:sz w:val="21"/>
          <w:szCs w:val="21"/>
        </w:rPr>
        <w:t>Meslekten Çıkarma Kararı Medeni Hak ve Yükümlülükler Kapsamında mıdır?</w:t>
      </w:r>
    </w:p>
    <w:p w14:paraId="48D6B38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Adil yargılanma hakkının uygulama alanına cezai bir isnat yanında, </w:t>
      </w:r>
      <w:r w:rsidRPr="00A40242">
        <w:rPr>
          <w:rFonts w:ascii="Palatino Linotype" w:hAnsi="Palatino Linotype" w:cstheme="minorHAnsi"/>
          <w:i/>
          <w:sz w:val="21"/>
          <w:szCs w:val="21"/>
        </w:rPr>
        <w:t>"medeni hak ve yükümlülükler"</w:t>
      </w:r>
      <w:r w:rsidRPr="00A40242">
        <w:rPr>
          <w:rFonts w:ascii="Palatino Linotype" w:hAnsi="Palatino Linotype" w:cstheme="minorHAnsi"/>
          <w:sz w:val="21"/>
          <w:szCs w:val="21"/>
        </w:rPr>
        <w:t xml:space="preserve"> de girmektedir. Bir hakkın AİHS kapsamında medeni olarak kabulü, bir uyuşmazlığın varlığına ve bu uyuşmazlığın iç hukukta savunulabilir hak ve yükümlülüklerle</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 xml:space="preserve">ilgili olmasına bağlıdır. </w:t>
      </w:r>
      <w:r w:rsidRPr="00A40242">
        <w:rPr>
          <w:rFonts w:ascii="Palatino Linotype" w:hAnsi="Palatino Linotype" w:cs="Times New Roman"/>
          <w:sz w:val="21"/>
          <w:szCs w:val="21"/>
        </w:rPr>
        <w:t>Ayrıca, sözleşmeci devletlerin iç hukuklarında aynı anlam yüklenmese de,  Sözleşme kapsamındaki medeni nitelikli haklar da 6. madde kapsamındadır</w:t>
      </w:r>
      <w:r w:rsidRPr="00A40242">
        <w:rPr>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28"/>
      </w:r>
      <w:r w:rsidRPr="00A40242">
        <w:rPr>
          <w:rFonts w:ascii="Palatino Linotype" w:hAnsi="Palatino Linotype" w:cstheme="minorHAnsi"/>
          <w:sz w:val="21"/>
          <w:szCs w:val="21"/>
        </w:rPr>
        <w:t xml:space="preserve"> </w:t>
      </w:r>
    </w:p>
    <w:p w14:paraId="6FB1448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İlke olarak; Sözleşme'nin 6/1. maddesinin maaş, tazminat, ödenek, kamu personelinin kariyer ve işten çıkarılması gibi çalışma hayatına ilişkin olan ve iç hukukta medeni olarak nitelendirilen uyuşmazlıklara uygulanabilirliğiyle ilgili bir tereddüt yoktur.</w:t>
      </w:r>
      <w:r w:rsidRPr="00A40242">
        <w:rPr>
          <w:rStyle w:val="DipnotBavurusu"/>
          <w:rFonts w:ascii="Palatino Linotype" w:hAnsi="Palatino Linotype" w:cstheme="minorHAnsi"/>
          <w:sz w:val="21"/>
          <w:szCs w:val="21"/>
        </w:rPr>
        <w:footnoteReference w:id="29"/>
      </w:r>
      <w:r w:rsidRPr="00A40242">
        <w:rPr>
          <w:rFonts w:ascii="Palatino Linotype" w:hAnsi="Palatino Linotype" w:cstheme="minorHAnsi"/>
          <w:sz w:val="21"/>
          <w:szCs w:val="21"/>
        </w:rPr>
        <w:t xml:space="preserve"> Zira Mahkeme, haksız olarak işten çıkarılan bir elçilik çalışanın,</w:t>
      </w:r>
      <w:r w:rsidRPr="00A40242">
        <w:rPr>
          <w:rStyle w:val="DipnotBavurusu"/>
          <w:rFonts w:ascii="Palatino Linotype" w:hAnsi="Palatino Linotype" w:cstheme="minorHAnsi"/>
          <w:sz w:val="21"/>
          <w:szCs w:val="21"/>
        </w:rPr>
        <w:footnoteReference w:id="30"/>
      </w:r>
      <w:r w:rsidRPr="00A40242">
        <w:rPr>
          <w:rFonts w:ascii="Palatino Linotype" w:hAnsi="Palatino Linotype" w:cstheme="minorHAnsi"/>
          <w:sz w:val="21"/>
          <w:szCs w:val="21"/>
        </w:rPr>
        <w:t xml:space="preserve"> aleyhine verilen disiplin cezasıyla ilgili bir hâkimin,</w:t>
      </w:r>
      <w:r w:rsidRPr="00A40242">
        <w:rPr>
          <w:rStyle w:val="DipnotBavurusu"/>
          <w:rFonts w:ascii="Palatino Linotype" w:hAnsi="Palatino Linotype" w:cstheme="minorHAnsi"/>
          <w:sz w:val="21"/>
          <w:szCs w:val="21"/>
        </w:rPr>
        <w:footnoteReference w:id="31"/>
      </w:r>
      <w:r w:rsidRPr="00A40242">
        <w:rPr>
          <w:rFonts w:ascii="Palatino Linotype" w:hAnsi="Palatino Linotype" w:cstheme="minorHAnsi"/>
          <w:sz w:val="21"/>
          <w:szCs w:val="21"/>
        </w:rPr>
        <w:t xml:space="preserve"> başka yere atanmasını emreden başkanlık kararnamesi aleyhine bir savcının</w:t>
      </w:r>
      <w:r w:rsidRPr="00A40242">
        <w:rPr>
          <w:rStyle w:val="DipnotBavurusu"/>
          <w:rFonts w:ascii="Palatino Linotype" w:hAnsi="Palatino Linotype" w:cstheme="minorHAnsi"/>
          <w:sz w:val="21"/>
          <w:szCs w:val="21"/>
        </w:rPr>
        <w:footnoteReference w:id="32"/>
      </w:r>
      <w:r w:rsidRPr="00A40242">
        <w:rPr>
          <w:rFonts w:ascii="Palatino Linotype" w:hAnsi="Palatino Linotype" w:cstheme="minorHAnsi"/>
          <w:sz w:val="21"/>
          <w:szCs w:val="21"/>
        </w:rPr>
        <w:t xml:space="preserve"> ve mesleki kariyeriyle ilgili verilen karar aleyhine bir gümrük müdürünün</w:t>
      </w:r>
      <w:r w:rsidRPr="00A40242">
        <w:rPr>
          <w:rStyle w:val="DipnotBavurusu"/>
          <w:rFonts w:ascii="Palatino Linotype" w:hAnsi="Palatino Linotype" w:cstheme="minorHAnsi"/>
          <w:sz w:val="21"/>
          <w:szCs w:val="21"/>
        </w:rPr>
        <w:footnoteReference w:id="33"/>
      </w:r>
      <w:r w:rsidRPr="00A40242">
        <w:rPr>
          <w:rFonts w:ascii="Palatino Linotype" w:hAnsi="Palatino Linotype" w:cstheme="minorHAnsi"/>
          <w:sz w:val="21"/>
          <w:szCs w:val="21"/>
        </w:rPr>
        <w:t xml:space="preserve"> yaptığı başvuruda 6. maddenin uygulanabileceğine karar vermiştir. Yani, bu tür uyuşmazlıklarda kamu görevlisi ile devlet arasındaki ilişkinin özel niteliği gereği ilgiliye 6. maddenin tanıdığı güvencelerin sunulması gerekir.</w:t>
      </w:r>
      <w:r w:rsidRPr="00A40242">
        <w:rPr>
          <w:rStyle w:val="DipnotBavurusu"/>
          <w:rFonts w:ascii="Palatino Linotype" w:hAnsi="Palatino Linotype" w:cstheme="minorHAnsi"/>
          <w:sz w:val="21"/>
          <w:szCs w:val="21"/>
        </w:rPr>
        <w:footnoteReference w:id="34"/>
      </w:r>
    </w:p>
    <w:p w14:paraId="7E9F3274" w14:textId="77777777" w:rsidR="00936167" w:rsidRPr="00A40242" w:rsidRDefault="00936167" w:rsidP="00936167">
      <w:pPr>
        <w:tabs>
          <w:tab w:val="left" w:pos="709"/>
        </w:tabs>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 xml:space="preserve">AİHM, uzun yıllar, devlet hizmetinde görev almaya, hukuka aykırı işten çıkarmaya veya </w:t>
      </w:r>
      <w:r w:rsidRPr="00A40242">
        <w:rPr>
          <w:rFonts w:ascii="Palatino Linotype" w:hAnsi="Palatino Linotype" w:cstheme="minorHAnsi"/>
          <w:i/>
          <w:sz w:val="21"/>
          <w:szCs w:val="21"/>
        </w:rPr>
        <w:t>"özel bir sadakat ve güven bağı içeren"</w:t>
      </w:r>
      <w:r w:rsidRPr="00A40242">
        <w:rPr>
          <w:rFonts w:ascii="Palatino Linotype" w:hAnsi="Palatino Linotype" w:cstheme="minorHAnsi"/>
          <w:sz w:val="21"/>
          <w:szCs w:val="21"/>
        </w:rPr>
        <w:t xml:space="preserve"> meslekleri yapan asker ve polis gibi kamu görevlilerinin görevlerine iade edilmelerine ilişkin başvuruları 6. madde kapsamında görmezken,</w:t>
      </w:r>
      <w:r w:rsidRPr="00A40242">
        <w:rPr>
          <w:rStyle w:val="DipnotBavurusu1"/>
          <w:rFonts w:ascii="Palatino Linotype" w:hAnsi="Palatino Linotype" w:cstheme="minorHAnsi"/>
          <w:sz w:val="21"/>
          <w:szCs w:val="21"/>
        </w:rPr>
        <w:footnoteReference w:id="35"/>
      </w:r>
      <w:r w:rsidRPr="00A40242">
        <w:rPr>
          <w:rFonts w:ascii="Palatino Linotype" w:hAnsi="Palatino Linotype" w:cstheme="minorHAnsi"/>
          <w:sz w:val="21"/>
          <w:szCs w:val="21"/>
        </w:rPr>
        <w:t xml:space="preserve"> bu içtihadını değiştirmiş ve bu tür uyuşmazlıkları da 6. madde kapsamında görmeye başlamıştır.</w:t>
      </w:r>
      <w:r w:rsidRPr="00A40242">
        <w:rPr>
          <w:rStyle w:val="DipnotBavurusu"/>
          <w:rFonts w:ascii="Palatino Linotype" w:hAnsi="Palatino Linotype" w:cstheme="minorHAnsi"/>
          <w:sz w:val="21"/>
          <w:szCs w:val="21"/>
        </w:rPr>
        <w:footnoteReference w:id="36"/>
      </w:r>
      <w:r w:rsidRPr="00A40242">
        <w:rPr>
          <w:rFonts w:ascii="Palatino Linotype" w:hAnsi="Palatino Linotype" w:cstheme="minorHAnsi"/>
          <w:sz w:val="21"/>
          <w:szCs w:val="21"/>
        </w:rPr>
        <w:t xml:space="preserve"> </w:t>
      </w:r>
      <w:r w:rsidRPr="00A40242">
        <w:rPr>
          <w:rFonts w:ascii="Palatino Linotype" w:hAnsi="Palatino Linotype" w:cs="Times New Roman"/>
          <w:sz w:val="21"/>
          <w:szCs w:val="21"/>
        </w:rPr>
        <w:t>Ancak, bu görevleri yapan kişilerle ilgili 6. maddenin iki durumda uygulanmayacağını belirtmiştir.</w:t>
      </w:r>
      <w:r w:rsidRPr="00A40242">
        <w:rPr>
          <w:rFonts w:ascii="Palatino Linotype" w:hAnsi="Palatino Linotype" w:cstheme="minorHAnsi"/>
          <w:sz w:val="21"/>
          <w:szCs w:val="21"/>
        </w:rPr>
        <w:t xml:space="preserve"> </w:t>
      </w:r>
      <w:r w:rsidRPr="00A40242">
        <w:rPr>
          <w:rFonts w:ascii="Palatino Linotype" w:hAnsi="Palatino Linotype" w:cstheme="minorHAnsi"/>
          <w:i/>
          <w:sz w:val="21"/>
          <w:szCs w:val="21"/>
        </w:rPr>
        <w:t>"Eskelinen ölçütü"</w:t>
      </w:r>
      <w:r w:rsidRPr="00A40242">
        <w:rPr>
          <w:rFonts w:ascii="Palatino Linotype" w:hAnsi="Palatino Linotype" w:cstheme="minorHAnsi"/>
          <w:sz w:val="21"/>
          <w:szCs w:val="21"/>
        </w:rPr>
        <w:t xml:space="preserve"> olarak ta kabul edilen bu durumlar şunlardır; </w:t>
      </w:r>
      <w:r w:rsidRPr="00A40242">
        <w:rPr>
          <w:rFonts w:ascii="Palatino Linotype" w:hAnsi="Palatino Linotype" w:cstheme="minorHAnsi"/>
          <w:b/>
          <w:sz w:val="21"/>
          <w:szCs w:val="21"/>
        </w:rPr>
        <w:t xml:space="preserve">a. </w:t>
      </w:r>
      <w:r w:rsidRPr="00A40242">
        <w:rPr>
          <w:rFonts w:ascii="Palatino Linotype" w:hAnsi="Palatino Linotype" w:cstheme="minorHAnsi"/>
          <w:sz w:val="21"/>
          <w:szCs w:val="21"/>
        </w:rPr>
        <w:t xml:space="preserve">söz konusu pozisyon ya da personel sınıfı için iç hukukta mahkemeye erişim hakkının açıkça yasaklanmış olması, </w:t>
      </w:r>
      <w:r w:rsidRPr="00A40242">
        <w:rPr>
          <w:rFonts w:ascii="Palatino Linotype" w:hAnsi="Palatino Linotype" w:cstheme="minorHAnsi"/>
          <w:b/>
          <w:sz w:val="21"/>
          <w:szCs w:val="21"/>
        </w:rPr>
        <w:t>b.</w:t>
      </w:r>
      <w:r w:rsidRPr="00A40242">
        <w:rPr>
          <w:rFonts w:ascii="Palatino Linotype" w:hAnsi="Palatino Linotype" w:cstheme="minorHAnsi"/>
          <w:sz w:val="21"/>
          <w:szCs w:val="21"/>
        </w:rPr>
        <w:t xml:space="preserve"> devletin yargı yolunun kapalı olmasının haklı nedenlerini objektif olarak ortaya koymasıdır.</w:t>
      </w:r>
      <w:r w:rsidRPr="00A40242">
        <w:rPr>
          <w:rStyle w:val="DipnotBavurusu1"/>
          <w:rFonts w:ascii="Palatino Linotype" w:hAnsi="Palatino Linotype" w:cstheme="minorHAnsi"/>
          <w:sz w:val="21"/>
          <w:szCs w:val="21"/>
        </w:rPr>
        <w:footnoteReference w:id="37"/>
      </w:r>
      <w:r w:rsidRPr="00A40242">
        <w:rPr>
          <w:rFonts w:ascii="Palatino Linotype" w:hAnsi="Palatino Linotype" w:cstheme="minorHAnsi"/>
          <w:sz w:val="21"/>
          <w:szCs w:val="21"/>
        </w:rPr>
        <w:t xml:space="preserve"> Yani, bir kişinin kamu gücünün verdiği yetkiyi kullanan ya da devletle özel bir sadakat ve güven bağı bulunan görevde çalışması 6. maddenin kapsamı dışında tutulması için yeterli değildir. Bunun için devletin, başvuruya konu olayın kamu gücünün kullanımından kaynaklandığını veya sadakat ve güven ilişkisini şüpheye düşürdüğünü gerekçeleriyle ortaya koyması gerekir.</w:t>
      </w:r>
      <w:r w:rsidRPr="00A40242">
        <w:rPr>
          <w:rStyle w:val="DipnotBavurusu"/>
          <w:rFonts w:ascii="Palatino Linotype" w:hAnsi="Palatino Linotype" w:cstheme="minorHAnsi"/>
          <w:sz w:val="21"/>
          <w:szCs w:val="21"/>
        </w:rPr>
        <w:footnoteReference w:id="38"/>
      </w:r>
      <w:r w:rsidRPr="00A40242">
        <w:rPr>
          <w:rFonts w:ascii="Palatino Linotype" w:hAnsi="Palatino Linotype" w:cstheme="minorHAnsi"/>
          <w:sz w:val="21"/>
          <w:szCs w:val="21"/>
        </w:rPr>
        <w:t xml:space="preserve"> Eskelinen ölçütü gereğince kamu görevlisine iç hukukta yargı yolunu kapatan kural, söz konusu işlemden önce mevcut olmalıdır. Aksi takdirde, taraf devletler meslekten çıkarmak istedikleri kişilerin yargı yoluna başvurmalarını engellemek için sonradan düzenleme yapabilir ve dolayısıyla yetkilerini kötüye kullanabilirler.</w:t>
      </w:r>
      <w:r w:rsidRPr="00A40242">
        <w:rPr>
          <w:rStyle w:val="DipnotBavurusu"/>
          <w:rFonts w:ascii="Palatino Linotype" w:hAnsi="Palatino Linotype" w:cstheme="minorHAnsi"/>
          <w:sz w:val="21"/>
          <w:szCs w:val="21"/>
        </w:rPr>
        <w:footnoteReference w:id="39"/>
      </w:r>
    </w:p>
    <w:p w14:paraId="3C5F818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imes New Roman"/>
          <w:sz w:val="21"/>
          <w:szCs w:val="21"/>
        </w:rPr>
        <w:t>AİHM, Kiev İstinaf Mahkemesi Başkanının</w:t>
      </w:r>
      <w:r w:rsidRPr="00A40242">
        <w:rPr>
          <w:rFonts w:ascii="Palatino Linotype" w:hAnsi="Palatino Linotype"/>
          <w:sz w:val="21"/>
          <w:szCs w:val="21"/>
        </w:rPr>
        <w:t xml:space="preserve"> Hâkimler Yüksek Konseyi tarafından görevinden alınmasıyla ilgili verdiği kararında; başvurunun, </w:t>
      </w:r>
      <w:r w:rsidRPr="00A40242">
        <w:rPr>
          <w:rFonts w:ascii="Palatino Linotype" w:hAnsi="Palatino Linotype" w:cs="Times New Roman"/>
          <w:sz w:val="21"/>
          <w:szCs w:val="21"/>
        </w:rPr>
        <w:t>başvurucunun çalışma hayatı ve alacağı ücretle ilgili olması nedeniyle olağan bir iş uyuşmazlığı olduğunu ve adil yargılanma</w:t>
      </w:r>
      <w:r w:rsidRPr="00A40242">
        <w:rPr>
          <w:rFonts w:ascii="Palatino Linotype" w:hAnsi="Palatino Linotype" w:cstheme="minorHAnsi"/>
          <w:sz w:val="21"/>
          <w:szCs w:val="21"/>
        </w:rPr>
        <w:t xml:space="preserve"> hakkı kapsamında </w:t>
      </w:r>
      <w:r w:rsidRPr="00A40242">
        <w:rPr>
          <w:rFonts w:ascii="Palatino Linotype" w:hAnsi="Palatino Linotype" w:cstheme="minorHAnsi"/>
          <w:i/>
          <w:sz w:val="21"/>
          <w:szCs w:val="21"/>
        </w:rPr>
        <w:t>“medeni bir hakkı”</w:t>
      </w:r>
      <w:r w:rsidRPr="00A40242">
        <w:rPr>
          <w:rFonts w:ascii="Palatino Linotype" w:hAnsi="Palatino Linotype" w:cstheme="minorHAnsi"/>
          <w:sz w:val="21"/>
          <w:szCs w:val="21"/>
        </w:rPr>
        <w:t xml:space="preserve"> ilgilendirdiğini belirtmiştir.</w:t>
      </w:r>
      <w:r w:rsidRPr="00A40242">
        <w:rPr>
          <w:rStyle w:val="DipnotBavurusu"/>
          <w:rFonts w:ascii="Palatino Linotype" w:hAnsi="Palatino Linotype" w:cstheme="minorHAnsi"/>
          <w:sz w:val="21"/>
          <w:szCs w:val="21"/>
        </w:rPr>
        <w:footnoteReference w:id="40"/>
      </w:r>
      <w:r w:rsidRPr="00A40242">
        <w:rPr>
          <w:rFonts w:ascii="Palatino Linotype" w:hAnsi="Palatino Linotype" w:cstheme="minorHAnsi"/>
          <w:sz w:val="21"/>
          <w:szCs w:val="21"/>
        </w:rPr>
        <w:t xml:space="preserve"> Başka bir kararında, üç farklı </w:t>
      </w:r>
      <w:r w:rsidRPr="00A40242">
        <w:rPr>
          <w:rFonts w:ascii="Palatino Linotype" w:hAnsi="Palatino Linotype" w:cstheme="minorHAnsi"/>
          <w:sz w:val="21"/>
          <w:szCs w:val="21"/>
        </w:rPr>
        <w:lastRenderedPageBreak/>
        <w:t xml:space="preserve">disiplin cezasıyla cezalandırılan ve verilen cezaların birleştirilmesi sonucu 240 gün açığa alınan bir hâkimin başvurusunda, hükümet tarafından 6. maddenin uygulanmasına (hukuki kısmının) </w:t>
      </w:r>
      <w:r w:rsidRPr="00A40242">
        <w:rPr>
          <w:rFonts w:ascii="Palatino Linotype" w:hAnsi="Palatino Linotype" w:cs="Times New Roman"/>
          <w:sz w:val="21"/>
          <w:szCs w:val="21"/>
        </w:rPr>
        <w:t>itiraz edilmemiş, Büyük Daire’de uyuşmazlığı 6. madde kapsamında değerlendirmiştir</w:t>
      </w:r>
      <w:r w:rsidRPr="00A40242">
        <w:rPr>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41"/>
      </w:r>
      <w:r w:rsidRPr="00A40242">
        <w:rPr>
          <w:rFonts w:ascii="Palatino Linotype" w:hAnsi="Palatino Linotype" w:cstheme="minorHAnsi"/>
          <w:sz w:val="21"/>
          <w:szCs w:val="21"/>
        </w:rPr>
        <w:t xml:space="preserve"> Bir başka kararında, daha önce AİHM yargıçlığı da yapan ve altı yıllık süre için Yüksek Mahkeme başkanlığına seçilen başvurucu, başkan seçilmesinden </w:t>
      </w:r>
      <w:r w:rsidRPr="00A40242">
        <w:rPr>
          <w:rFonts w:ascii="Palatino Linotype" w:eastAsiaTheme="minorHAnsi" w:hAnsi="Palatino Linotype" w:cs="Times New Roman"/>
          <w:sz w:val="21"/>
          <w:szCs w:val="21"/>
          <w:lang w:eastAsia="en-US"/>
        </w:rPr>
        <w:t>iki buçuk yıl sonra görevine son verilip, bazı sosyal haklarının elinden alınmasıyla sonuçlanan Anayasa değişikliği ile ilgili mahkemeye erişim hakkı bulunmadığını belirterek AİHM’e başvurmuş ve başvuruyla ilgili AİHM, yargıçlık görevinin her hangi bir memuriyet olarak kabul edilemeyeceğini, başvurucunun görev yaptığı dönemde iç hukukta Devletle olan iş uyuşmazlığını bir mahkeme önüne getirmekten açıkça men edilmediğini ve bu nedenle ba</w:t>
      </w:r>
      <w:r>
        <w:rPr>
          <w:rFonts w:ascii="Palatino Linotype" w:eastAsiaTheme="minorHAnsi" w:hAnsi="Palatino Linotype" w:cs="Times New Roman"/>
          <w:sz w:val="21"/>
          <w:szCs w:val="21"/>
          <w:lang w:eastAsia="en-US"/>
        </w:rPr>
        <w:t>şvuruya konu olayda Eskelinen kr</w:t>
      </w:r>
      <w:r w:rsidRPr="00A40242">
        <w:rPr>
          <w:rFonts w:ascii="Palatino Linotype" w:eastAsiaTheme="minorHAnsi" w:hAnsi="Palatino Linotype" w:cs="Times New Roman"/>
          <w:sz w:val="21"/>
          <w:szCs w:val="21"/>
          <w:lang w:eastAsia="en-US"/>
        </w:rPr>
        <w:t>iterlerinden ilkinin karşılanmadığını,</w:t>
      </w:r>
      <w:r w:rsidRPr="00A40242">
        <w:rPr>
          <w:rFonts w:ascii="Palatino Linotype" w:eastAsiaTheme="minorHAnsi" w:hAnsi="Palatino Linotype" w:cs="Times New Roman"/>
          <w:sz w:val="21"/>
          <w:szCs w:val="21"/>
          <w:vertAlign w:val="superscript"/>
          <w:lang w:eastAsia="en-US"/>
        </w:rPr>
        <w:footnoteReference w:id="42"/>
      </w:r>
      <w:r w:rsidRPr="00A40242">
        <w:rPr>
          <w:rFonts w:ascii="Palatino Linotype" w:eastAsiaTheme="minorHAnsi" w:hAnsi="Palatino Linotype" w:cs="Times New Roman"/>
          <w:sz w:val="21"/>
          <w:szCs w:val="21"/>
          <w:lang w:eastAsia="en-US"/>
        </w:rPr>
        <w:t xml:space="preserve"> Türkiye ile ilgili verdiği bir kararında da, Ankara vali yardımcısı iken daha küçük bir ile atanan başvurucunun talebinin medeni bir hakka ilişkin olduğunu belirtmiştir</w:t>
      </w:r>
      <w:r w:rsidRPr="00A40242">
        <w:rPr>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43"/>
      </w:r>
      <w:r w:rsidRPr="00A40242">
        <w:rPr>
          <w:rFonts w:ascii="Palatino Linotype" w:hAnsi="Palatino Linotype" w:cstheme="minorHAnsi"/>
          <w:sz w:val="21"/>
          <w:szCs w:val="21"/>
        </w:rPr>
        <w:t xml:space="preserve"> </w:t>
      </w:r>
    </w:p>
    <w:p w14:paraId="36F9F05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imes New Roman"/>
          <w:sz w:val="21"/>
          <w:szCs w:val="21"/>
        </w:rPr>
        <w:t>Çalışmaya konu HSYK kararı, Eskelinen testindeki iki unsuru da karşılamamaktadır.</w:t>
      </w:r>
      <w:r w:rsidRPr="00A40242">
        <w:rPr>
          <w:rFonts w:ascii="Palatino Linotype" w:hAnsi="Palatino Linotype" w:cstheme="minorHAnsi"/>
          <w:sz w:val="21"/>
          <w:szCs w:val="21"/>
        </w:rPr>
        <w:t xml:space="preserve"> Zira yargı mensuplarının kamu hizmetinden nasıl çıkarılacağı Anayasa'da ve 2802 sayılı Kanun'da ayrıntılı şekilde düzenlenmiştir ve 6087 sayılı Hâkimler ve Savcılar Kurulu Kanunu'nun</w:t>
      </w:r>
      <w:r w:rsidRPr="00A40242">
        <w:rPr>
          <w:rStyle w:val="DipnotBavurusu1"/>
          <w:rFonts w:ascii="Palatino Linotype" w:hAnsi="Palatino Linotype" w:cstheme="minorHAnsi"/>
          <w:sz w:val="21"/>
          <w:szCs w:val="21"/>
        </w:rPr>
        <w:footnoteReference w:id="44"/>
      </w:r>
      <w:r w:rsidRPr="00A40242">
        <w:rPr>
          <w:rFonts w:ascii="Palatino Linotype" w:hAnsi="Palatino Linotype" w:cstheme="minorHAnsi"/>
          <w:sz w:val="21"/>
          <w:szCs w:val="21"/>
        </w:rPr>
        <w:t xml:space="preserve"> 33/5. maddesi gereğince de meslekten çıkarma cezasına karşı yargı yolu açıktır. </w:t>
      </w:r>
      <w:r w:rsidRPr="00A40242">
        <w:rPr>
          <w:rFonts w:ascii="Palatino Linotype" w:eastAsiaTheme="minorHAnsi" w:hAnsi="Palatino Linotype" w:cs="Times New Roman"/>
          <w:sz w:val="21"/>
          <w:szCs w:val="21"/>
          <w:lang w:eastAsia="en-US"/>
        </w:rPr>
        <w:t>Ayrıca, Anayasa'da ve anılan kanunlarda hâkim ve savcılar hakkında</w:t>
      </w:r>
      <w:r w:rsidRPr="00A40242">
        <w:rPr>
          <w:rFonts w:ascii="Palatino Linotype" w:eastAsia="Calibri" w:hAnsi="Palatino Linotype" w:cs="Times New Roman"/>
          <w:sz w:val="21"/>
          <w:szCs w:val="21"/>
          <w:lang w:eastAsia="en-US"/>
        </w:rPr>
        <w:t xml:space="preserve"> herhangi bir soruşturma yapılmadan ve savunmaları alınmadan kamu görevinden çıkarılabileceklerine ilişkin bir düzenlemeye yer verilmemiştir. Yine, bu yaptırım yargı mensuplarının kamu hizmetine girişlerinden yıllar sonra 667 sayılı KHK ile getirilmiş ve bu yaptırıma karşı da 685 sayılı KHK ile yargı yolu öngörülmüştür. Bu yönüyle düzenleme Eskelinen kriterinin birinci unsuru olan </w:t>
      </w:r>
      <w:r w:rsidRPr="00A40242">
        <w:rPr>
          <w:rFonts w:ascii="Palatino Linotype" w:eastAsia="Calibri" w:hAnsi="Palatino Linotype" w:cs="Times New Roman"/>
          <w:i/>
          <w:sz w:val="21"/>
          <w:szCs w:val="21"/>
          <w:lang w:eastAsia="en-US"/>
        </w:rPr>
        <w:t>“açıkça yargı yolunu kapama”</w:t>
      </w:r>
      <w:r w:rsidRPr="00A40242">
        <w:rPr>
          <w:rFonts w:ascii="Palatino Linotype" w:eastAsia="Calibri" w:hAnsi="Palatino Linotype" w:cs="Times New Roman"/>
          <w:sz w:val="21"/>
          <w:szCs w:val="21"/>
          <w:lang w:eastAsia="en-US"/>
        </w:rPr>
        <w:t xml:space="preserve"> hususunu karşılamamaktadır. </w:t>
      </w:r>
    </w:p>
    <w:p w14:paraId="2D860596" w14:textId="77777777" w:rsidR="00936167" w:rsidRPr="00A40242" w:rsidRDefault="00936167" w:rsidP="00936167">
      <w:pPr>
        <w:pStyle w:val="ListeParagraf"/>
        <w:spacing w:before="120" w:after="120" w:line="240" w:lineRule="auto"/>
        <w:ind w:left="0" w:right="113"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Hâkim ve savcıların Devletin egemenlik yetkisinin bir parçasını kullandıkları ve bu yönüyle de Devletle aralarında </w:t>
      </w:r>
      <w:r w:rsidRPr="00A40242">
        <w:rPr>
          <w:rFonts w:ascii="Palatino Linotype" w:hAnsi="Palatino Linotype" w:cstheme="minorHAnsi"/>
          <w:i/>
          <w:sz w:val="21"/>
          <w:szCs w:val="21"/>
        </w:rPr>
        <w:t>“özel bir güven ve sadakat”</w:t>
      </w:r>
      <w:r w:rsidRPr="00A40242">
        <w:rPr>
          <w:rFonts w:ascii="Palatino Linotype" w:hAnsi="Palatino Linotype" w:cstheme="minorHAnsi"/>
          <w:sz w:val="21"/>
          <w:szCs w:val="21"/>
        </w:rPr>
        <w:t xml:space="preserve"> ilişkisi bulunduğu iddia edilebilir. Ancak, bu husus tek başına 6. maddeden yararlanmalarına engel değildir. Zira Devletin yaptırıma konu olayın kamu gücünün kullanımından kaynaklandığını veya sadakat ve güven ilişkisini tehlikeye düşürdüğünü gerekçeleriyle ortaya koyması gerekir. Yargı mensupları hakkında uygulanan tedbirinin nedeni darbe teşebbüsüdür. Fakat bu olaya yargı mensuplarının iştirakiyle ilgili her hangi bir delil, belge ve bilgi bulunmamaktadır ve Devletle bu kişiler arasındaki sadakat ve güven ilişkisinin nasıl zedelendiği ortaya konulmamıştır. Yani, hâkim-savcıların hiçbir somut delile dayanmaksızın darbe girişimiyle ilişkilendirilip görevlerinden </w:t>
      </w:r>
      <w:r w:rsidRPr="00A40242">
        <w:rPr>
          <w:rFonts w:ascii="Palatino Linotype" w:hAnsi="Palatino Linotype" w:cstheme="minorHAnsi"/>
          <w:sz w:val="21"/>
          <w:szCs w:val="21"/>
        </w:rPr>
        <w:lastRenderedPageBreak/>
        <w:t xml:space="preserve">çıkarılmalarının makul bir yanı yoktur. Bu nedenle, uygulanan yaptırım Eskelinen testinin ikinci unsuru olan </w:t>
      </w:r>
      <w:r w:rsidRPr="00A40242">
        <w:rPr>
          <w:rFonts w:ascii="Palatino Linotype" w:hAnsi="Palatino Linotype" w:cstheme="minorHAnsi"/>
          <w:i/>
          <w:sz w:val="21"/>
          <w:szCs w:val="21"/>
        </w:rPr>
        <w:t>“özel bir güven ve sadakat”</w:t>
      </w:r>
      <w:r w:rsidRPr="00A40242">
        <w:rPr>
          <w:rFonts w:ascii="Palatino Linotype" w:hAnsi="Palatino Linotype" w:cstheme="minorHAnsi"/>
          <w:sz w:val="21"/>
          <w:szCs w:val="21"/>
        </w:rPr>
        <w:t xml:space="preserve"> ilişkisini de karşılamamaktadır.</w:t>
      </w:r>
    </w:p>
    <w:p w14:paraId="09910604" w14:textId="77777777" w:rsidR="00936167" w:rsidRPr="00A40242" w:rsidRDefault="00936167" w:rsidP="00936167">
      <w:pPr>
        <w:pStyle w:val="ListeParagraf"/>
        <w:spacing w:before="120" w:after="120" w:line="240" w:lineRule="auto"/>
        <w:ind w:left="0" w:right="113" w:firstLine="567"/>
        <w:jc w:val="both"/>
        <w:rPr>
          <w:rFonts w:ascii="Palatino Linotype" w:hAnsi="Palatino Linotype" w:cstheme="minorHAnsi"/>
          <w:sz w:val="21"/>
          <w:szCs w:val="21"/>
        </w:rPr>
      </w:pPr>
      <w:r w:rsidRPr="00A40242">
        <w:rPr>
          <w:rFonts w:ascii="Palatino Linotype" w:hAnsi="Palatino Linotype" w:cstheme="minorHAnsi"/>
          <w:sz w:val="21"/>
          <w:szCs w:val="21"/>
        </w:rPr>
        <w:t>Kısaca, HSYK'nın verdiği karar cezai nitelikli olduğu gibi, medeni hak ve yükümlülükler kapsamında da kalmakta ve bu nedenle de AİHS'in 6/1. maddesinin uygulama alanına girmektedir.</w:t>
      </w:r>
      <w:r w:rsidRPr="00A40242">
        <w:rPr>
          <w:rStyle w:val="DipnotBavurusu"/>
          <w:rFonts w:ascii="Palatino Linotype" w:hAnsi="Palatino Linotype" w:cstheme="minorHAnsi"/>
          <w:sz w:val="21"/>
          <w:szCs w:val="21"/>
        </w:rPr>
        <w:footnoteReference w:id="45"/>
      </w:r>
    </w:p>
    <w:p w14:paraId="1BA0759D" w14:textId="77777777" w:rsidR="00936167" w:rsidRPr="00A40242" w:rsidRDefault="00936167" w:rsidP="00936167">
      <w:pPr>
        <w:pStyle w:val="ListeParagraf"/>
        <w:spacing w:before="120" w:after="120" w:line="240" w:lineRule="auto"/>
        <w:ind w:left="0" w:right="113" w:firstLine="567"/>
        <w:jc w:val="both"/>
        <w:rPr>
          <w:rFonts w:ascii="Palatino Linotype" w:hAnsi="Palatino Linotype" w:cstheme="minorHAnsi"/>
          <w:sz w:val="21"/>
          <w:szCs w:val="21"/>
        </w:rPr>
      </w:pPr>
      <w:r w:rsidRPr="00A40242">
        <w:rPr>
          <w:rFonts w:ascii="Palatino Linotype" w:eastAsiaTheme="minorHAnsi" w:hAnsi="Palatino Linotype" w:cs="Times New Roman"/>
          <w:sz w:val="21"/>
          <w:szCs w:val="21"/>
          <w:lang w:eastAsia="en-US"/>
        </w:rPr>
        <w:t>Aşağıda, adil yargılanma hakkının diğer unsurları olan mahkemeye başvuru hakkı, savunma hakkı ve masumiyet karinesi çerçevesinde HSYK kararın incelenmesine yer verilmiştir.</w:t>
      </w:r>
    </w:p>
    <w:p w14:paraId="75CCB750" w14:textId="77777777" w:rsidR="00936167" w:rsidRPr="00595617" w:rsidRDefault="00936167" w:rsidP="00936167">
      <w:pPr>
        <w:pStyle w:val="Balk3"/>
        <w:numPr>
          <w:ilvl w:val="0"/>
          <w:numId w:val="41"/>
        </w:numPr>
        <w:spacing w:before="120" w:after="120" w:line="240" w:lineRule="auto"/>
        <w:ind w:left="993" w:hanging="426"/>
        <w:jc w:val="both"/>
        <w:rPr>
          <w:rFonts w:cstheme="minorHAnsi"/>
          <w:color w:val="auto"/>
          <w:sz w:val="21"/>
          <w:szCs w:val="21"/>
        </w:rPr>
      </w:pPr>
      <w:bookmarkStart w:id="7" w:name="_Toc7451325"/>
      <w:r w:rsidRPr="00595617">
        <w:rPr>
          <w:rFonts w:cstheme="minorHAnsi"/>
          <w:color w:val="auto"/>
          <w:sz w:val="21"/>
          <w:szCs w:val="21"/>
        </w:rPr>
        <w:t>Mahkemeye Başvurma (Erişim) Hakkı Açısından Kararın Değerlendirilmesi</w:t>
      </w:r>
      <w:bookmarkEnd w:id="7"/>
      <w:r w:rsidRPr="00595617">
        <w:rPr>
          <w:rFonts w:cstheme="minorHAnsi"/>
          <w:color w:val="auto"/>
          <w:sz w:val="21"/>
          <w:szCs w:val="21"/>
        </w:rPr>
        <w:t xml:space="preserve"> </w:t>
      </w:r>
    </w:p>
    <w:p w14:paraId="49A1698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Bu hak AİHS'in 6/1. maddesinin 1. fıkrasında açıkça düzenlenmese de, fıkrada görülmekte olan bir dava ile ilgili güvencelere yer verilmiştir. Ancak, mahkemeye başvuru hakkı olmaksızın hakkaniyete uygun bir yargılamadan ve adil yargılanma hakkına ilişkin teminatlardan söz edilemeyeceğinden, mahkemeye erişim hakkı adil yargılanma hakkının ana unsularından biri olarak kabul edilmiştir.</w:t>
      </w:r>
      <w:r w:rsidRPr="00A40242">
        <w:rPr>
          <w:rStyle w:val="DipnotBavurusu1"/>
          <w:rFonts w:ascii="Palatino Linotype" w:hAnsi="Palatino Linotype" w:cstheme="minorHAnsi"/>
          <w:sz w:val="21"/>
          <w:szCs w:val="21"/>
        </w:rPr>
        <w:footnoteReference w:id="46"/>
      </w:r>
    </w:p>
    <w:p w14:paraId="50595400"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Mahkemeye başvuru hakkı iç hukukta Anayasa'nın 36. maddesinde düzenlenmiş olup bu hakla ilgili; "</w:t>
      </w:r>
      <w:r w:rsidRPr="00A40242">
        <w:rPr>
          <w:rFonts w:ascii="Palatino Linotype" w:hAnsi="Palatino Linotype" w:cstheme="minorHAnsi"/>
          <w:i/>
          <w:sz w:val="21"/>
          <w:szCs w:val="21"/>
        </w:rPr>
        <w:t>herkes, meşru vasıta ve yollardan faydalanmak suretiyle yargı mercileri önünde davacı veya davalı olarak iddia ve savunma ile adil yargılanma hakkına sahiptir"</w:t>
      </w:r>
      <w:r w:rsidRPr="00A40242">
        <w:rPr>
          <w:rFonts w:ascii="Palatino Linotype" w:hAnsi="Palatino Linotype" w:cstheme="minorHAnsi"/>
          <w:sz w:val="21"/>
          <w:szCs w:val="21"/>
        </w:rPr>
        <w:t xml:space="preserve"> denilmiştir. Madde metninden anlaşılacağı üzere, bu hak Anayasa'da açıkça düzenlenmiş ve hak arama özgürlüğünün kanunla sınırlandırılmasına müsaade edilmemiştir.</w:t>
      </w:r>
      <w:r w:rsidRPr="00A40242">
        <w:rPr>
          <w:rStyle w:val="DipnotBavurusu1"/>
          <w:rFonts w:ascii="Palatino Linotype" w:hAnsi="Palatino Linotype" w:cstheme="minorHAnsi"/>
          <w:sz w:val="21"/>
          <w:szCs w:val="21"/>
        </w:rPr>
        <w:footnoteReference w:id="47"/>
      </w:r>
    </w:p>
    <w:p w14:paraId="0DF8718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Herkesin şahsi hak ve yükümlülüklerinin karara bağlanması amacıyla fiilen ve etkili bir şekilde mahkemeye erişim hakkına sahip olması gerekir.</w:t>
      </w:r>
      <w:r w:rsidRPr="00A40242">
        <w:rPr>
          <w:rStyle w:val="DipnotBavurusu1"/>
          <w:rFonts w:ascii="Palatino Linotype" w:hAnsi="Palatino Linotype" w:cstheme="minorHAnsi"/>
          <w:sz w:val="21"/>
          <w:szCs w:val="21"/>
        </w:rPr>
        <w:footnoteReference w:id="48"/>
      </w:r>
      <w:r w:rsidRPr="00A40242">
        <w:rPr>
          <w:rFonts w:ascii="Palatino Linotype" w:hAnsi="Palatino Linotype" w:cstheme="minorHAnsi"/>
          <w:sz w:val="21"/>
          <w:szCs w:val="21"/>
        </w:rPr>
        <w:t xml:space="preserve"> Bu hak, sadece ilk derece mahkemelerinde dava açma hakkını değil, üst mahkemelere başvuru hakkını da içerir.</w:t>
      </w:r>
      <w:r w:rsidRPr="00A40242">
        <w:rPr>
          <w:rStyle w:val="DipnotBavurusu1"/>
          <w:rFonts w:ascii="Palatino Linotype" w:hAnsi="Palatino Linotype" w:cstheme="minorHAnsi"/>
          <w:sz w:val="21"/>
          <w:szCs w:val="21"/>
        </w:rPr>
        <w:footnoteReference w:id="49"/>
      </w:r>
    </w:p>
    <w:p w14:paraId="0F28D0C5"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Bireyin kişisel bir hakkına müdahale oluşturan idarî eylem ve işlemlerin yargı denetimi dışında tutulması adil yargılanma hakkına aykırıdır.</w:t>
      </w:r>
      <w:r w:rsidRPr="00A40242">
        <w:rPr>
          <w:rStyle w:val="DipnotBavurusu1"/>
          <w:rFonts w:ascii="Palatino Linotype" w:hAnsi="Palatino Linotype" w:cstheme="minorHAnsi"/>
          <w:sz w:val="21"/>
          <w:szCs w:val="21"/>
        </w:rPr>
        <w:footnoteReference w:id="50"/>
      </w:r>
      <w:r w:rsidRPr="00A40242">
        <w:rPr>
          <w:rFonts w:ascii="Palatino Linotype" w:hAnsi="Palatino Linotype" w:cstheme="minorHAnsi"/>
          <w:sz w:val="21"/>
          <w:szCs w:val="21"/>
        </w:rPr>
        <w:t xml:space="preserve"> Ayrıca, AİHM'e göre devletin herhangi bir sınırlamaya bağlı olmaksızın kişisel taleplerle ilgili hususları mahkemelerin görevi dışında tutması ya da geniş guruplara medenî konularla ilgili bağışıklık tanıması hukukun üstünlüğü ve şahsi hak taleplerinin mahkeme önüne getirilmesi ilkeleriyle bağdaşmaz.</w:t>
      </w:r>
      <w:r w:rsidRPr="00A40242">
        <w:rPr>
          <w:rStyle w:val="DipnotBavurusu1"/>
          <w:rFonts w:ascii="Palatino Linotype" w:hAnsi="Palatino Linotype" w:cstheme="minorHAnsi"/>
          <w:sz w:val="21"/>
          <w:szCs w:val="21"/>
        </w:rPr>
        <w:footnoteReference w:id="51"/>
      </w:r>
      <w:r w:rsidRPr="00A40242">
        <w:rPr>
          <w:rFonts w:ascii="Palatino Linotype" w:eastAsiaTheme="minorHAnsi" w:hAnsi="Palatino Linotype" w:cs="Times New Roman"/>
          <w:color w:val="FF0000"/>
          <w:sz w:val="21"/>
          <w:szCs w:val="21"/>
          <w:lang w:eastAsia="en-US"/>
        </w:rPr>
        <w:t xml:space="preserve"> </w:t>
      </w:r>
      <w:r w:rsidRPr="00A40242">
        <w:rPr>
          <w:rFonts w:ascii="Palatino Linotype" w:eastAsiaTheme="minorHAnsi" w:hAnsi="Palatino Linotype" w:cs="Times New Roman"/>
          <w:sz w:val="21"/>
          <w:szCs w:val="21"/>
          <w:lang w:eastAsia="en-US"/>
        </w:rPr>
        <w:t>Yine, disiplin soruşturmaları ve işten çıkarılmayı ilgilendiren durumlarda yetkili bir mahkeme önünde davanın görülmesi gerektiği, aksi durumun kabulünün mahkemeye erişim hakkının ihlaline neden olacağı AİHM içtihatlarıyla ortaya konulmuştur.</w:t>
      </w:r>
      <w:r w:rsidRPr="00A40242">
        <w:rPr>
          <w:rFonts w:ascii="Palatino Linotype" w:eastAsiaTheme="minorHAnsi" w:hAnsi="Palatino Linotype" w:cs="Times New Roman"/>
          <w:sz w:val="21"/>
          <w:szCs w:val="21"/>
          <w:vertAlign w:val="superscript"/>
          <w:lang w:eastAsia="en-US"/>
        </w:rPr>
        <w:footnoteReference w:id="52"/>
      </w:r>
    </w:p>
    <w:p w14:paraId="2BDDBEE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Bu açıklamalar ışığında HSYK kararını değerlendirmek gerekirse; kararda, uygulanan meslekten çıkarma yaptırımının disiplin suçu neticesinde verilen cezalardan olmadığı, geçici olmayan ve nihai sonuç doğuran "o</w:t>
      </w:r>
      <w:r w:rsidRPr="00A40242">
        <w:rPr>
          <w:rFonts w:ascii="Palatino Linotype" w:hAnsi="Palatino Linotype" w:cstheme="minorHAnsi"/>
          <w:i/>
          <w:sz w:val="21"/>
          <w:szCs w:val="21"/>
        </w:rPr>
        <w:t xml:space="preserve">lağanüstü bir tedbir niteliğinde" </w:t>
      </w:r>
      <w:r w:rsidRPr="00A40242">
        <w:rPr>
          <w:rFonts w:ascii="Palatino Linotype" w:hAnsi="Palatino Linotype" w:cstheme="minorHAnsi"/>
          <w:sz w:val="21"/>
          <w:szCs w:val="21"/>
        </w:rPr>
        <w:t xml:space="preserve">olduğu belirtilmiş, karar aleyhine başvurulacak bir yargı merciine yer verilmemiş, ancak 6087 sayılı Kanun'un 33. maddesi </w:t>
      </w:r>
      <w:r w:rsidRPr="00A40242">
        <w:rPr>
          <w:rFonts w:ascii="Palatino Linotype" w:hAnsi="Palatino Linotype" w:cstheme="minorHAnsi"/>
          <w:sz w:val="21"/>
          <w:szCs w:val="21"/>
        </w:rPr>
        <w:lastRenderedPageBreak/>
        <w:t>gereğince yeniden inceleme talebinde bulunulabileceği ifade edilmiştir. Acaba, ilgili yargı mensuplarının bu karara karşı dava açma, yani mahkemeye erişim hakları var mıdır?</w:t>
      </w:r>
      <w:r w:rsidRPr="00A40242">
        <w:rPr>
          <w:rFonts w:ascii="Palatino Linotype" w:hAnsi="Palatino Linotype" w:cstheme="minorHAnsi"/>
          <w:b/>
          <w:sz w:val="21"/>
          <w:szCs w:val="21"/>
        </w:rPr>
        <w:t xml:space="preserve"> </w:t>
      </w:r>
    </w:p>
    <w:p w14:paraId="74F26E20" w14:textId="77777777" w:rsidR="00936167" w:rsidRPr="00A40242" w:rsidRDefault="00936167" w:rsidP="00936167">
      <w:pPr>
        <w:spacing w:before="120" w:after="120" w:line="240" w:lineRule="auto"/>
        <w:ind w:firstLine="567"/>
        <w:jc w:val="both"/>
        <w:rPr>
          <w:rFonts w:ascii="Palatino Linotype" w:hAnsi="Palatino Linotype" w:cstheme="minorHAnsi"/>
          <w:i/>
          <w:sz w:val="21"/>
          <w:szCs w:val="21"/>
        </w:rPr>
      </w:pPr>
      <w:r w:rsidRPr="00A40242">
        <w:rPr>
          <w:rFonts w:ascii="Palatino Linotype" w:hAnsi="Palatino Linotype" w:cstheme="minorHAnsi"/>
          <w:sz w:val="21"/>
          <w:szCs w:val="21"/>
        </w:rPr>
        <w:t>HSYK kararlarına karşı yargı yoluna başvuru hususu, Anayasa'nın 159/10. maddesinde ve o dönem yürürlükte bulunan 6087 sayılı Kanun'un 4. ve 33/5. maddelerinde düzenlenmiştir. Anayasa'da yer alan düzenlemeye göre; "</w:t>
      </w:r>
      <w:r w:rsidRPr="00A40242">
        <w:rPr>
          <w:rFonts w:ascii="Palatino Linotype" w:hAnsi="Palatino Linotype" w:cstheme="minorHAnsi"/>
          <w:i/>
          <w:sz w:val="21"/>
          <w:szCs w:val="21"/>
        </w:rPr>
        <w:t xml:space="preserve">Kurulun meslekten çıkarma cezasına ilişkin olanlar dışındaki kararlarına karşı yargı mercilerine başvurulamaz." </w:t>
      </w:r>
      <w:r w:rsidRPr="00A40242">
        <w:rPr>
          <w:rFonts w:ascii="Palatino Linotype" w:hAnsi="Palatino Linotype" w:cstheme="minorHAnsi"/>
          <w:sz w:val="21"/>
          <w:szCs w:val="21"/>
        </w:rPr>
        <w:t>6087 sayılı Kanun'un 4. maddesinde meslekte kalmaları uygun görülmeyen hâkim ve savcılar hakkında karar verme yetkisinin HSYK'da olduğu, 33/5. maddesinde de; "</w:t>
      </w:r>
      <w:r w:rsidRPr="00A40242">
        <w:rPr>
          <w:rFonts w:ascii="Palatino Linotype" w:hAnsi="Palatino Linotype" w:cstheme="minorHAnsi"/>
          <w:i/>
          <w:sz w:val="21"/>
          <w:szCs w:val="21"/>
        </w:rPr>
        <w:t xml:space="preserve">Genel Kurulun veya dairelerin, meslekten çıkarma cezasına ilişkin kesinleşmiş kararlarına karşı yargı mercilerine başvurulabilir; diğer kararlar yargı denetimi dışındadır. Meslekten çıkarma kararlarına karşı açılan iptal davaları ilk derece mahkemesi olarak Danıştay'da görülür" </w:t>
      </w:r>
      <w:r w:rsidRPr="00A40242">
        <w:rPr>
          <w:rFonts w:ascii="Palatino Linotype" w:hAnsi="Palatino Linotype" w:cstheme="minorHAnsi"/>
          <w:sz w:val="21"/>
          <w:szCs w:val="21"/>
        </w:rPr>
        <w:t>ifadelerine yer verilmiştir.</w:t>
      </w:r>
    </w:p>
    <w:p w14:paraId="1377AE4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Konuyla ilgili olarak bir Cumhuriyet savcısı meslekten çıkarma kararına karşı iptal davası açmış, ancak Danıştay, HSYK'nın aldığı kararın disiplin suçu işlenmesi sonucunda uygulanan ve yargı denetimine tabi bir disiplin cezası olan meslekten çıkarma cezası olmadığını, olağanüstü bir tedbir niteliğinde olduğunu ve bu nedenle de 6087 sayılı Kanun'un 33. maddesi gereğince ilk derece mahkemesi olarak Danıştay'da görülebilecek bir uyuşmazlık bulunmadığını belirterek davanın görev yönünden reddine ve dosyanın genel görevli Ankara idare mahkemesine gönderilmesine karar vermiştir.</w:t>
      </w:r>
      <w:r w:rsidRPr="00A40242">
        <w:rPr>
          <w:rStyle w:val="DipnotBavurusu1"/>
          <w:rFonts w:ascii="Palatino Linotype" w:hAnsi="Palatino Linotype" w:cstheme="minorHAnsi"/>
          <w:sz w:val="21"/>
          <w:szCs w:val="21"/>
        </w:rPr>
        <w:footnoteReference w:id="53"/>
      </w:r>
      <w:r w:rsidRPr="00A40242">
        <w:rPr>
          <w:rFonts w:ascii="Palatino Linotype" w:hAnsi="Palatino Linotype" w:cstheme="minorHAnsi"/>
          <w:sz w:val="21"/>
          <w:szCs w:val="21"/>
        </w:rPr>
        <w:t xml:space="preserve"> Fakat 6087 sayılı Kanun'da HSYK kararlarına karşı Danıştay dışında başka bir mahkemeye dava açılabileceğine ilişkin hüküm bulunmamasına ve bu hususa Anayasa’da da yer verilmesine rağmen, dosyanın idare mahkemesine gönderilmesi verilen karara karşı yargı yolu bulunduğu anlamına gelmez. Kaldı ki, idare mahkemesi de yukarıda açıklanan nedenlerle davanın </w:t>
      </w:r>
      <w:r w:rsidRPr="00A40242">
        <w:rPr>
          <w:rFonts w:ascii="Palatino Linotype" w:hAnsi="Palatino Linotype" w:cstheme="minorHAnsi"/>
          <w:i/>
          <w:sz w:val="21"/>
          <w:szCs w:val="21"/>
        </w:rPr>
        <w:t>"incelenmeksizin reddine"</w:t>
      </w:r>
      <w:r w:rsidRPr="00A40242">
        <w:rPr>
          <w:rFonts w:ascii="Palatino Linotype" w:hAnsi="Palatino Linotype" w:cstheme="minorHAnsi"/>
          <w:sz w:val="21"/>
          <w:szCs w:val="21"/>
        </w:rPr>
        <w:t xml:space="preserve"> karar vermiştir.</w:t>
      </w:r>
      <w:r w:rsidRPr="00A40242">
        <w:rPr>
          <w:rStyle w:val="DipnotBavurusu1"/>
          <w:rFonts w:ascii="Palatino Linotype" w:hAnsi="Palatino Linotype" w:cstheme="minorHAnsi"/>
          <w:sz w:val="21"/>
          <w:szCs w:val="21"/>
        </w:rPr>
        <w:footnoteReference w:id="54"/>
      </w:r>
    </w:p>
    <w:p w14:paraId="7165759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Ancak, 23/01/2017 tarihinde yayımlanan 685 sayılı Olağanüstü Hal İşlemleri İnceleme Komisyonu Kurulması Hakkında Kanun Hükmünde Kararname'nin</w:t>
      </w:r>
      <w:r w:rsidRPr="00A40242">
        <w:rPr>
          <w:rStyle w:val="DipnotBavurusu1"/>
          <w:rFonts w:ascii="Palatino Linotype" w:hAnsi="Palatino Linotype" w:cstheme="minorHAnsi"/>
          <w:sz w:val="21"/>
          <w:szCs w:val="21"/>
        </w:rPr>
        <w:footnoteReference w:id="55"/>
      </w:r>
      <w:r w:rsidRPr="00A40242">
        <w:rPr>
          <w:rFonts w:ascii="Palatino Linotype" w:hAnsi="Palatino Linotype" w:cstheme="minorHAnsi"/>
          <w:sz w:val="21"/>
          <w:szCs w:val="21"/>
        </w:rPr>
        <w:t xml:space="preserve"> geçici 1. maddesinin 4. fıkrasında; bu KHK'nin yayımlandığı tarihten önce 667 sayılı KHK'nin 3/1. maddesine dayanılarak meslekten çıkarılan yargı mensuplarının bu KHK'nin yayımı tarihinden itibaren 60 gün içinde ilk derece mahkemesi olarak Danıştay'a dava açabilecekleri, bu kapsamda idare mahkemelerinde derdest olan davaların Danıştay'a gönderileceği</w:t>
      </w:r>
      <w:r w:rsidRPr="00A40242">
        <w:rPr>
          <w:rStyle w:val="DipnotBavurusu1"/>
          <w:rFonts w:ascii="Palatino Linotype" w:hAnsi="Palatino Linotype" w:cstheme="minorHAnsi"/>
          <w:sz w:val="21"/>
          <w:szCs w:val="21"/>
        </w:rPr>
        <w:footnoteReference w:id="56"/>
      </w:r>
      <w:r w:rsidRPr="00A40242">
        <w:rPr>
          <w:rFonts w:ascii="Palatino Linotype" w:hAnsi="Palatino Linotype" w:cstheme="minorHAnsi"/>
          <w:sz w:val="21"/>
          <w:szCs w:val="21"/>
        </w:rPr>
        <w:t xml:space="preserve"> ve daha önce açılmış olup da karar verilen dosyalarla ilgili de aynı hükümlerin uygulanacağı belirtilmiştir.</w:t>
      </w:r>
    </w:p>
    <w:p w14:paraId="5C5D0A9B"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Getirilen düzenlemeyle hâkim ve savcılara </w:t>
      </w:r>
      <w:r w:rsidRPr="00A40242">
        <w:rPr>
          <w:rFonts w:ascii="Palatino Linotype" w:hAnsi="Palatino Linotype" w:cstheme="minorHAnsi"/>
          <w:i/>
          <w:sz w:val="21"/>
          <w:szCs w:val="21"/>
        </w:rPr>
        <w:t xml:space="preserve">"mahkemeye erişim hakkı" </w:t>
      </w:r>
      <w:r w:rsidRPr="00A40242">
        <w:rPr>
          <w:rFonts w:ascii="Palatino Linotype" w:hAnsi="Palatino Linotype" w:cstheme="minorHAnsi"/>
          <w:sz w:val="21"/>
          <w:szCs w:val="21"/>
        </w:rPr>
        <w:t xml:space="preserve">tanınıyor olsa da, düzenleme bünyesinde bazı problemleri barındırmaktadır. Şöyle ki; yukarıda yer verildiği üzere HSYK kararı Anayasa'nın 159/10. ve 6087 sayılı Kanun'un 33/5. maddeleri gereğince aleyhine yargı yoluna başvurulamayan bir karardır. 685 sayılı OHAL KHK'sinde 6087 sayılı Kanun'da değişiklik yapıldığına ilişkin bir hükme yer verilmediği gibi, OHAL KHK'si ile Anayasa'da değişiklik yapılması da mümkün değildir. Ancak, KHK ile yargı yolunun kapalı olduğu bir konuda Danıştay'a karar verme yetkisi tanınmıştır. Düzenleme bu yönüyle Anayasa ve 6087 sayılı Kanun'a aykırıdır ve 685 sayılı OHAL KHK'si Anayasa Mahkemesi tarafından iptal edilmediği ya da kaldırılmadığı sürece yürürlükte kalacağından başvuruların bu KHK hükümlerine göre yapılması gerekecektir. Diğer bir ifadeyle, HSYK kararının kesinleştiği tarih olan 29/11/2016 ile 685 sayılı KHK'nin yayım tarihi olan 23/01/2017 tarihi arasında ilgili yargı mensuplarının mahkemeye erişim hakları kısıtlanmış olsa da, OHAL KHK'si ile Danıştay'a başvuru hakkı tanınmak suretiyle bu kısıtlama kaldırılmıştır. </w:t>
      </w:r>
    </w:p>
    <w:p w14:paraId="786CB3BF" w14:textId="77777777" w:rsidR="00936167" w:rsidRPr="00A40242" w:rsidRDefault="00936167" w:rsidP="00936167">
      <w:pPr>
        <w:spacing w:before="120" w:after="120" w:line="240" w:lineRule="auto"/>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lastRenderedPageBreak/>
        <w:tab/>
        <w:t>Danıştay'ın, yargı mensuplarınca açılan iptal davalarında şu kararlardan birini vereceği düşünülmektedir;</w:t>
      </w:r>
    </w:p>
    <w:p w14:paraId="7D38A59D" w14:textId="77777777" w:rsidR="00936167" w:rsidRPr="00A40242" w:rsidRDefault="00936167" w:rsidP="00936167">
      <w:pPr>
        <w:spacing w:before="120" w:after="120" w:line="240" w:lineRule="auto"/>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ab/>
        <w:t xml:space="preserve">1- 685 sayılı KHK'nin kanunlaşması nedeniyle (7075 sayılı Kanun), bu Kanun’un ilgili maddesinin Anayasa’ya aykırılığını ileri sürerek iptalini isteyebilir. </w:t>
      </w:r>
    </w:p>
    <w:p w14:paraId="0136625D"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2- Danıştay, 685 sayılı KHK ile getirilen düzenlemenin Anayasa ile 6087 sayılı Kanun'a aykırı olduğunu ve açılan davanın görev alanına girmediğini belirterek ve üst norm olan Anayasa'nın 159/10. ve 6087 sayılı Kanun'un 33/5. maddelerine atıf yaparak davayı reddedebilir. Zira aynı konuya ilişkin olarak 685 sayılı KHK'nin yayımından önce açılan bir dava da bu yönde karar vermiştir.</w:t>
      </w:r>
      <w:r w:rsidRPr="00A40242">
        <w:rPr>
          <w:rStyle w:val="DipnotBavurusu1"/>
          <w:rFonts w:ascii="Palatino Linotype" w:hAnsi="Palatino Linotype" w:cstheme="minorHAnsi"/>
          <w:sz w:val="21"/>
          <w:szCs w:val="21"/>
        </w:rPr>
        <w:footnoteReference w:id="57"/>
      </w:r>
    </w:p>
    <w:p w14:paraId="1E6833A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3- 685 sayılı OHAL KHK'si ile meslekten çıkarılan hâkim ve savcılara dava açma imkânı tanınsa da, bu kişilerin AİHS'in 6. maddesinde öngörülen teminatlardan neden yararlandırılmadıklarının objektif şekilde ortaya konulmadığını ve dolayısıyla da adil yargılanma haklarının ihlal edildiğini</w:t>
      </w:r>
      <w:r w:rsidRPr="00A40242">
        <w:rPr>
          <w:rStyle w:val="DipnotBavurusu"/>
          <w:rFonts w:ascii="Palatino Linotype" w:hAnsi="Palatino Linotype" w:cstheme="minorHAnsi"/>
          <w:sz w:val="21"/>
          <w:szCs w:val="21"/>
        </w:rPr>
        <w:footnoteReference w:id="58"/>
      </w:r>
      <w:r w:rsidRPr="00A40242">
        <w:rPr>
          <w:rFonts w:ascii="Palatino Linotype" w:hAnsi="Palatino Linotype" w:cstheme="minorHAnsi"/>
          <w:sz w:val="21"/>
          <w:szCs w:val="21"/>
        </w:rPr>
        <w:t xml:space="preserve"> belirterek HSYK kararını iptal edebilir.</w:t>
      </w:r>
    </w:p>
    <w:p w14:paraId="1E93159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Venedik Komisyonu da, AYM'nin iki üyesini görevden alarak bu karara esas teşkil eden 667 sayılı KHK'nin geçerliliğini teyit ettiğini, HSYK'nın OHAL KHK'sinin kendisine verdiği olağanüstü yetkiye dayanarak binlerce hâkim ve savcıyı meslekten çıkardığını ve bu durumun, yargı mensuplarınca yapılacak başvurulardan bir netice alınmasının zor olduğunu gösterdiğini belirtmiştir.</w:t>
      </w:r>
      <w:r w:rsidRPr="00A40242">
        <w:rPr>
          <w:rStyle w:val="DipnotBavurusu"/>
          <w:rFonts w:ascii="Palatino Linotype" w:hAnsi="Palatino Linotype" w:cstheme="minorHAnsi"/>
          <w:sz w:val="21"/>
          <w:szCs w:val="21"/>
        </w:rPr>
        <w:footnoteReference w:id="59"/>
      </w:r>
    </w:p>
    <w:p w14:paraId="0BAF36FB" w14:textId="77777777" w:rsidR="00936167" w:rsidRPr="00A40242" w:rsidRDefault="00936167" w:rsidP="00936167">
      <w:pPr>
        <w:pStyle w:val="Balk3"/>
        <w:numPr>
          <w:ilvl w:val="0"/>
          <w:numId w:val="41"/>
        </w:numPr>
        <w:spacing w:before="120" w:after="120" w:line="240" w:lineRule="auto"/>
        <w:ind w:left="993" w:hanging="426"/>
        <w:jc w:val="both"/>
        <w:rPr>
          <w:rFonts w:cstheme="minorHAnsi"/>
          <w:color w:val="auto"/>
          <w:sz w:val="21"/>
          <w:szCs w:val="21"/>
        </w:rPr>
      </w:pPr>
      <w:bookmarkStart w:id="8" w:name="_Toc7451326"/>
      <w:r w:rsidRPr="00A40242">
        <w:rPr>
          <w:rFonts w:cstheme="minorHAnsi"/>
          <w:color w:val="auto"/>
          <w:sz w:val="21"/>
          <w:szCs w:val="21"/>
        </w:rPr>
        <w:t>Masumiyet Karinesi Açısından Kararın Değerlendirilmesi</w:t>
      </w:r>
      <w:bookmarkEnd w:id="8"/>
      <w:r w:rsidRPr="00A40242">
        <w:rPr>
          <w:rFonts w:cstheme="minorHAnsi"/>
          <w:color w:val="auto"/>
          <w:sz w:val="21"/>
          <w:szCs w:val="21"/>
        </w:rPr>
        <w:t xml:space="preserve">    </w:t>
      </w:r>
    </w:p>
    <w:p w14:paraId="5BDCE81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Masumiyet karinesi AİHS'in 6/2. ve Anayasa'nın 38/4. maddelerinde düzenlenmiştir. Karine ile ilgili AİHS'in 6/2. maddesinde; </w:t>
      </w:r>
      <w:r w:rsidRPr="00A40242">
        <w:rPr>
          <w:rFonts w:ascii="Palatino Linotype" w:hAnsi="Palatino Linotype" w:cstheme="minorHAnsi"/>
          <w:i/>
          <w:iCs/>
          <w:sz w:val="21"/>
          <w:szCs w:val="21"/>
        </w:rPr>
        <w:t xml:space="preserve">"bir suç ile itham edilen herkes, suçluluğu yasal olarak sabit oluncaya kadar suçsuz sayılır", </w:t>
      </w:r>
      <w:r w:rsidRPr="00A40242">
        <w:rPr>
          <w:rFonts w:ascii="Palatino Linotype" w:hAnsi="Palatino Linotype" w:cstheme="minorHAnsi"/>
          <w:sz w:val="21"/>
          <w:szCs w:val="21"/>
        </w:rPr>
        <w:t xml:space="preserve">Anayasa'nın 38/4. maddesinde de; </w:t>
      </w:r>
      <w:r w:rsidRPr="00A40242">
        <w:rPr>
          <w:rFonts w:ascii="Palatino Linotype" w:hAnsi="Palatino Linotype" w:cstheme="minorHAnsi"/>
          <w:i/>
          <w:iCs/>
          <w:sz w:val="21"/>
          <w:szCs w:val="21"/>
        </w:rPr>
        <w:t xml:space="preserve">"suçluluğu hükmen sabit oluncaya kadar, kimse suçlu sayılamaz" </w:t>
      </w:r>
      <w:r w:rsidRPr="00A40242">
        <w:rPr>
          <w:rFonts w:ascii="Palatino Linotype" w:hAnsi="Palatino Linotype" w:cstheme="minorHAnsi"/>
          <w:sz w:val="21"/>
          <w:szCs w:val="21"/>
        </w:rPr>
        <w:t>ifadelerine yer verilmiştir.</w:t>
      </w:r>
    </w:p>
    <w:p w14:paraId="44C11662"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Karine, Anayasa'nın 15/2. maddesi gereğince olağanüstü durumlarda dahi kısmen veya tamamen askıya alınamayan haklardandır. AİHS'in 15. maddesinde askıya alınamayacak haklar arasında masumiyet karinesi sayılmamasına rağmen, karineye verilen önemin bir göstergesi olarak bu husus Anayasa'da ayrıca düzenlenmiştir.</w:t>
      </w:r>
      <w:r w:rsidRPr="00A40242">
        <w:rPr>
          <w:rStyle w:val="DipnotBavurusu1"/>
          <w:rFonts w:ascii="Palatino Linotype" w:hAnsi="Palatino Linotype" w:cstheme="minorHAnsi"/>
          <w:sz w:val="21"/>
          <w:szCs w:val="21"/>
        </w:rPr>
        <w:footnoteReference w:id="60"/>
      </w:r>
    </w:p>
    <w:p w14:paraId="3E84832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Masumiyet karinesi, bir kişiye isnat edilen suçu o kişinin işlediği noktasında önyargıyla hareket edilmemesini ve herhangi bir kamu görevlisi tarafından suçluluğa ilişkin zamansız açıklama yapılmamasını güvence altına alır. Bu ilke gereğince ispat yükü devlete aittir ve kişinin suçsuz olduğunu ispatlama zorunluluğu yoktur.</w:t>
      </w:r>
      <w:r w:rsidRPr="00A40242">
        <w:rPr>
          <w:rStyle w:val="DipnotBavurusu1"/>
          <w:rFonts w:ascii="Palatino Linotype" w:hAnsi="Palatino Linotype" w:cstheme="minorHAnsi"/>
          <w:sz w:val="21"/>
          <w:szCs w:val="21"/>
        </w:rPr>
        <w:footnoteReference w:id="61"/>
      </w:r>
      <w:r w:rsidRPr="00A40242">
        <w:rPr>
          <w:rFonts w:ascii="Palatino Linotype" w:hAnsi="Palatino Linotype" w:cstheme="minorHAnsi"/>
          <w:sz w:val="21"/>
          <w:szCs w:val="21"/>
        </w:rPr>
        <w:t xml:space="preserve"> İspat külfetinin savunma makamına, yani başvurucuya yüklenmesi masumiyet karinesinin ihlaline neden olur.</w:t>
      </w:r>
      <w:r w:rsidRPr="00A40242">
        <w:rPr>
          <w:rStyle w:val="DipnotBavurusu1"/>
          <w:rFonts w:ascii="Palatino Linotype" w:hAnsi="Palatino Linotype" w:cstheme="minorHAnsi"/>
          <w:sz w:val="21"/>
          <w:szCs w:val="21"/>
        </w:rPr>
        <w:footnoteReference w:id="62"/>
      </w:r>
      <w:r w:rsidRPr="00A40242">
        <w:rPr>
          <w:rFonts w:ascii="Palatino Linotype" w:hAnsi="Palatino Linotype" w:cstheme="minorHAnsi"/>
          <w:sz w:val="21"/>
          <w:szCs w:val="21"/>
        </w:rPr>
        <w:t xml:space="preserve"> İspat yükünün kamu makamlarınca yerine getirilmiş sayılması için kişiye isnat edilen suçlamanın sabit olduğunun güçlü delillerle ortaya konulması gerekir.</w:t>
      </w:r>
      <w:r w:rsidRPr="00A40242">
        <w:rPr>
          <w:rStyle w:val="DipnotBavurusu1"/>
          <w:rFonts w:ascii="Palatino Linotype" w:hAnsi="Palatino Linotype" w:cstheme="minorHAnsi"/>
          <w:sz w:val="21"/>
          <w:szCs w:val="21"/>
        </w:rPr>
        <w:footnoteReference w:id="63"/>
      </w:r>
    </w:p>
    <w:p w14:paraId="7CA8F31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 xml:space="preserve">AİHS'in 6/2. maddesinde yer verilen </w:t>
      </w:r>
      <w:r w:rsidRPr="00A40242">
        <w:rPr>
          <w:rFonts w:ascii="Palatino Linotype" w:hAnsi="Palatino Linotype" w:cstheme="minorHAnsi"/>
          <w:i/>
          <w:sz w:val="21"/>
          <w:szCs w:val="21"/>
        </w:rPr>
        <w:t>"suç isnadı"</w:t>
      </w:r>
      <w:r w:rsidRPr="00A40242">
        <w:rPr>
          <w:rFonts w:ascii="Palatino Linotype" w:hAnsi="Palatino Linotype" w:cstheme="minorHAnsi"/>
          <w:sz w:val="21"/>
          <w:szCs w:val="21"/>
        </w:rPr>
        <w:t xml:space="preserve"> kişiye yetkili merciler tarafından suç işlediğine ilişkin resmî ve yazılı bir bildirim yapılmasıdır. Bu bildirimin tedbir şeklinde de olması da mümkündür. Masumiyet karinesinin ihlaline ilişkin ölçüt, kişinin hakkında tesis edilen işlem ve eylemden gerçek manada etkilenip etkilenmediğinin belirlenmesiyle ilgilidir.</w:t>
      </w:r>
      <w:r w:rsidRPr="00A40242">
        <w:rPr>
          <w:rStyle w:val="DipnotBavurusu1"/>
          <w:rFonts w:ascii="Palatino Linotype" w:hAnsi="Palatino Linotype" w:cstheme="minorHAnsi"/>
          <w:sz w:val="21"/>
          <w:szCs w:val="21"/>
        </w:rPr>
        <w:footnoteReference w:id="64"/>
      </w:r>
      <w:r w:rsidRPr="00A40242">
        <w:rPr>
          <w:rFonts w:ascii="Palatino Linotype" w:hAnsi="Palatino Linotype" w:cstheme="minorHAnsi"/>
          <w:sz w:val="21"/>
          <w:szCs w:val="21"/>
        </w:rPr>
        <w:t xml:space="preserve"> Masumiyet karinesinin ihlali mahkeme kararıyla gerçekleşebileceği gibi kamu makam ve yetkililerinin beyanları veya basında kişinin suçlu olduğuna ilişkin haberlerle de gerçekleşebilir.</w:t>
      </w:r>
      <w:r w:rsidRPr="00A40242">
        <w:rPr>
          <w:rStyle w:val="DipnotBavurusu1"/>
          <w:rFonts w:ascii="Palatino Linotype" w:hAnsi="Palatino Linotype" w:cstheme="minorHAnsi"/>
          <w:sz w:val="21"/>
          <w:szCs w:val="21"/>
        </w:rPr>
        <w:footnoteReference w:id="65"/>
      </w:r>
      <w:r w:rsidRPr="00A40242">
        <w:rPr>
          <w:rFonts w:ascii="Palatino Linotype" w:hAnsi="Palatino Linotype" w:cstheme="minorHAnsi"/>
          <w:sz w:val="21"/>
          <w:szCs w:val="21"/>
        </w:rPr>
        <w:t xml:space="preserve"> AİHM, Türkiye ile ilgili verdiği yakın tarihli bir kararında, idare mahkemesinde görülen bir disiplin davasının gerekçeli kararında henüz kesinleşmemiş olan ağır ceza mahkemesinin kararındaki bazı hususlara atfen ve idari yargılama neticesinde elde edilen bilgiler yerine bu karardaki bilgilerden hareketle başvurucunun terör örgütü üyesi olduğunu belirten ifadelere yer verilmesini masumiyet karinesine aykırı bulmuştur. Bu karardan çıkan sonuç, yasa dışı bir örgütle tespit edilen irtibata dayanılarak idari ceza verilebilmesi örgütün yasa dışı olduğunun kesinleşmiş mahkeme kararıyla sabit olmasına bağlıdır. Başka bir ifadeyle, bu sebebe istinaden verilecek disiplin cezası ancak kararın kesinleşmesinden sonraki dönem için geçerli olabilir. Örgütün bu yönünü bilmeyenler için idare kendisi ayrı bir araştırma dahi yapsa, AİHS'in 7. maddesi gereğince suç ve cezalar geriye yürütülemeyeceğinden kişilere ceza verilemez. Yani, ihraçlarda geçmişteki değil, bugünkü bağ ortaya konulmalıdır.</w:t>
      </w:r>
      <w:r w:rsidRPr="00A40242">
        <w:rPr>
          <w:rStyle w:val="DipnotBavurusu"/>
          <w:rFonts w:ascii="Palatino Linotype" w:hAnsi="Palatino Linotype" w:cstheme="minorHAnsi"/>
          <w:sz w:val="21"/>
          <w:szCs w:val="21"/>
        </w:rPr>
        <w:footnoteReference w:id="66"/>
      </w:r>
      <w:r w:rsidRPr="00A40242">
        <w:rPr>
          <w:rFonts w:ascii="Palatino Linotype" w:hAnsi="Palatino Linotype" w:cstheme="minorHAnsi"/>
          <w:sz w:val="21"/>
          <w:szCs w:val="21"/>
        </w:rPr>
        <w:t xml:space="preserve"> </w:t>
      </w:r>
    </w:p>
    <w:p w14:paraId="7882BDD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AİHM'e göre kişinin suçlu olduğu ispatlanmadan ve savunma hakkı tanınmadan verilen bir karar kişinin suçlu olduğu izlenimi doğuruyorsa masumiyet karinesi ihlal edilmiştir.</w:t>
      </w:r>
      <w:r w:rsidRPr="00A40242">
        <w:rPr>
          <w:rStyle w:val="DipnotBavurusu1"/>
          <w:rFonts w:ascii="Palatino Linotype" w:hAnsi="Palatino Linotype" w:cstheme="minorHAnsi"/>
          <w:sz w:val="21"/>
          <w:szCs w:val="21"/>
        </w:rPr>
        <w:footnoteReference w:id="67"/>
      </w:r>
      <w:r w:rsidRPr="00A40242">
        <w:rPr>
          <w:rFonts w:ascii="Palatino Linotype" w:hAnsi="Palatino Linotype" w:cstheme="minorHAnsi"/>
          <w:sz w:val="21"/>
          <w:szCs w:val="21"/>
        </w:rPr>
        <w:t xml:space="preserve"> Benzer şekilde Mahkeme, yetkililerin yürütülmekte olan bir soruşturma ve kovuşturma hakkında kamuoyuna bilgi vermelerinde sakınca görmediğini, ancak kişilerin suçlu olduğuna ilişkin kamuoyunu yönlendirebilecek ya da mahkemelerin davayı görürken önyargılı davranmalarına neden olabilecek açıklamaların önlenmesi amacıyla, resmi makamların verilen bilgilerle ilgili bütün dikkat ve özeni göstermeleri gerektiğini belirtmiştir.</w:t>
      </w:r>
      <w:r w:rsidRPr="00A40242">
        <w:rPr>
          <w:rStyle w:val="DipnotBavurusu1"/>
          <w:rFonts w:ascii="Palatino Linotype" w:hAnsi="Palatino Linotype" w:cstheme="minorHAnsi"/>
          <w:sz w:val="21"/>
          <w:szCs w:val="21"/>
        </w:rPr>
        <w:footnoteReference w:id="68"/>
      </w:r>
      <w:r w:rsidRPr="00A40242">
        <w:rPr>
          <w:rFonts w:ascii="Palatino Linotype" w:hAnsi="Palatino Linotype" w:cstheme="minorHAnsi"/>
          <w:sz w:val="21"/>
          <w:szCs w:val="21"/>
        </w:rPr>
        <w:t xml:space="preserve"> </w:t>
      </w:r>
    </w:p>
    <w:p w14:paraId="4AB94D4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 xml:space="preserve">Yine, Türkiye aleyhine verdiği bir kararında, emniyet güçlerince isimleri açıklanmasa da yakalanan zanlıların fotoğraflarının dağıtılıp sonrasında yapılan basın açıklamasında şüphelilerin isnat edilen suçları işlediklerinin </w:t>
      </w:r>
      <w:r w:rsidRPr="00A40242">
        <w:rPr>
          <w:rFonts w:ascii="Palatino Linotype" w:hAnsi="Palatino Linotype" w:cstheme="minorHAnsi"/>
          <w:i/>
          <w:sz w:val="21"/>
          <w:szCs w:val="21"/>
        </w:rPr>
        <w:t xml:space="preserve">"saptandığının" </w:t>
      </w:r>
      <w:r w:rsidRPr="00A40242">
        <w:rPr>
          <w:rFonts w:ascii="Palatino Linotype" w:hAnsi="Palatino Linotype" w:cstheme="minorHAnsi"/>
          <w:sz w:val="21"/>
          <w:szCs w:val="21"/>
        </w:rPr>
        <w:t>belirtildiği olayla ilgili, devlet yetkililerinin başvurucular hakkında yargılama sonlanmadan suçlu olduklarına ilişkin açıklama yapmalarını masumiyet karinesine aykırı bulmuştur.</w:t>
      </w:r>
      <w:r w:rsidRPr="00A40242">
        <w:rPr>
          <w:rStyle w:val="DipnotBavurusu1"/>
          <w:rFonts w:ascii="Palatino Linotype" w:hAnsi="Palatino Linotype" w:cstheme="minorHAnsi"/>
          <w:sz w:val="21"/>
          <w:szCs w:val="21"/>
        </w:rPr>
        <w:footnoteReference w:id="69"/>
      </w:r>
      <w:r w:rsidRPr="00A40242">
        <w:rPr>
          <w:rFonts w:ascii="Palatino Linotype" w:hAnsi="Palatino Linotype" w:cstheme="minorHAnsi"/>
          <w:sz w:val="21"/>
          <w:szCs w:val="21"/>
        </w:rPr>
        <w:t xml:space="preserve"> </w:t>
      </w:r>
    </w:p>
    <w:p w14:paraId="41D564F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Aynı şekilde, kamu otoriteleri veya resmi yetkililer tarafından</w:t>
      </w:r>
      <w:r w:rsidRPr="00A40242">
        <w:rPr>
          <w:rStyle w:val="DipnotBavurusu"/>
          <w:rFonts w:ascii="Palatino Linotype" w:hAnsi="Palatino Linotype" w:cstheme="minorHAnsi"/>
          <w:sz w:val="21"/>
          <w:szCs w:val="21"/>
        </w:rPr>
        <w:footnoteReference w:id="70"/>
      </w:r>
      <w:r w:rsidRPr="00A40242">
        <w:rPr>
          <w:rFonts w:ascii="Palatino Linotype" w:hAnsi="Palatino Linotype" w:cstheme="minorHAnsi"/>
          <w:sz w:val="21"/>
          <w:szCs w:val="21"/>
        </w:rPr>
        <w:t xml:space="preserve"> hakkında soruşturma ya da kovuşturma yürütülen bir kişiyle ilgili olarak, yargılama süreci mahkûmiyet hükmüyle sonlanmadan ya da mahkûmiyet hükmüyle sonuçlansa bile bu aşamaya kadar</w:t>
      </w:r>
      <w:r w:rsidRPr="00A40242">
        <w:rPr>
          <w:rStyle w:val="DipnotBavurusu"/>
          <w:rFonts w:ascii="Palatino Linotype" w:hAnsi="Palatino Linotype" w:cstheme="minorHAnsi"/>
          <w:sz w:val="21"/>
          <w:szCs w:val="21"/>
        </w:rPr>
        <w:footnoteReference w:id="71"/>
      </w:r>
      <w:r w:rsidRPr="00A40242">
        <w:rPr>
          <w:rFonts w:ascii="Palatino Linotype" w:hAnsi="Palatino Linotype" w:cstheme="minorHAnsi"/>
          <w:sz w:val="21"/>
          <w:szCs w:val="21"/>
        </w:rPr>
        <w:t xml:space="preserve"> kişinin suçluluğuna ilişkin kanaat ifade edilmesi veya ceza yargılaması mahkûmiyet dışında kovuşturmaya yer olmadığı</w:t>
      </w:r>
      <w:r w:rsidRPr="00A40242">
        <w:rPr>
          <w:rStyle w:val="DipnotBavurusu"/>
          <w:rFonts w:ascii="Palatino Linotype" w:hAnsi="Palatino Linotype" w:cstheme="minorHAnsi"/>
          <w:sz w:val="21"/>
          <w:szCs w:val="21"/>
        </w:rPr>
        <w:footnoteReference w:id="72"/>
      </w:r>
      <w:r w:rsidRPr="00A40242">
        <w:rPr>
          <w:rFonts w:ascii="Palatino Linotype" w:hAnsi="Palatino Linotype" w:cstheme="minorHAnsi"/>
          <w:sz w:val="21"/>
          <w:szCs w:val="21"/>
        </w:rPr>
        <w:t xml:space="preserve"> ya da beraat kararlarıyla</w:t>
      </w:r>
      <w:r w:rsidRPr="00A40242">
        <w:rPr>
          <w:rStyle w:val="DipnotBavurusu"/>
          <w:rFonts w:ascii="Palatino Linotype" w:hAnsi="Palatino Linotype" w:cstheme="minorHAnsi"/>
          <w:sz w:val="21"/>
          <w:szCs w:val="21"/>
        </w:rPr>
        <w:footnoteReference w:id="73"/>
      </w:r>
      <w:r w:rsidRPr="00A40242">
        <w:rPr>
          <w:rFonts w:ascii="Palatino Linotype" w:hAnsi="Palatino Linotype" w:cstheme="minorHAnsi"/>
          <w:sz w:val="21"/>
          <w:szCs w:val="21"/>
        </w:rPr>
        <w:t xml:space="preserve"> sona ermesine rağmen yahut disiplin yargılamaları kapsamında verilen kararlarda</w:t>
      </w:r>
      <w:r w:rsidRPr="00A40242">
        <w:rPr>
          <w:rStyle w:val="DipnotBavurusu"/>
          <w:rFonts w:ascii="Palatino Linotype" w:hAnsi="Palatino Linotype" w:cstheme="minorHAnsi"/>
          <w:sz w:val="21"/>
          <w:szCs w:val="21"/>
        </w:rPr>
        <w:footnoteReference w:id="74"/>
      </w:r>
      <w:r w:rsidRPr="00A40242">
        <w:rPr>
          <w:rFonts w:ascii="Palatino Linotype" w:hAnsi="Palatino Linotype" w:cstheme="minorHAnsi"/>
          <w:sz w:val="21"/>
          <w:szCs w:val="21"/>
        </w:rPr>
        <w:t xml:space="preserve"> ilgilinin suçlu olabileceğinin belirtilmesi masumiyet karinesinin ihlaline neden olur.</w:t>
      </w:r>
      <w:r w:rsidRPr="00A40242">
        <w:rPr>
          <w:rStyle w:val="DipnotBavurusu"/>
          <w:rFonts w:ascii="Palatino Linotype" w:hAnsi="Palatino Linotype" w:cstheme="minorHAnsi"/>
          <w:sz w:val="21"/>
          <w:szCs w:val="21"/>
        </w:rPr>
        <w:footnoteReference w:id="75"/>
      </w:r>
      <w:r w:rsidRPr="00A40242">
        <w:rPr>
          <w:rFonts w:ascii="Palatino Linotype" w:hAnsi="Palatino Linotype" w:cstheme="minorHAnsi"/>
          <w:sz w:val="21"/>
          <w:szCs w:val="21"/>
        </w:rPr>
        <w:t xml:space="preserve"> </w:t>
      </w:r>
    </w:p>
    <w:p w14:paraId="32904ED3"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 xml:space="preserve">HSYK'nın ihraç gerekçeleri arasında, </w:t>
      </w:r>
      <w:r w:rsidRPr="00A40242">
        <w:rPr>
          <w:rFonts w:ascii="Palatino Linotype" w:hAnsi="Palatino Linotype" w:cstheme="minorHAnsi"/>
          <w:i/>
          <w:sz w:val="21"/>
          <w:szCs w:val="21"/>
        </w:rPr>
        <w:t>"örgüt mensuplarının haberleşmek için kullandıkları şifreli programlarda yer alan kayıtlar"</w:t>
      </w:r>
      <w:r w:rsidRPr="00A40242">
        <w:rPr>
          <w:rFonts w:ascii="Palatino Linotype" w:hAnsi="Palatino Linotype" w:cstheme="minorHAnsi"/>
          <w:sz w:val="21"/>
          <w:szCs w:val="21"/>
        </w:rPr>
        <w:t xml:space="preserve"> ve kararın ekinde isimleri bulunan hâkim-savcıların FETÖ/PDY örgütü</w:t>
      </w:r>
      <w:r w:rsidRPr="00A40242">
        <w:rPr>
          <w:rStyle w:val="DipnotBavurusu"/>
          <w:rFonts w:ascii="Palatino Linotype" w:hAnsi="Palatino Linotype" w:cstheme="minorHAnsi"/>
          <w:sz w:val="21"/>
          <w:szCs w:val="21"/>
        </w:rPr>
        <w:footnoteReference w:id="76"/>
      </w:r>
      <w:r w:rsidRPr="00A40242">
        <w:rPr>
          <w:rFonts w:ascii="Palatino Linotype" w:hAnsi="Palatino Linotype" w:cstheme="minorHAnsi"/>
          <w:sz w:val="21"/>
          <w:szCs w:val="21"/>
        </w:rPr>
        <w:t xml:space="preserve"> ile </w:t>
      </w:r>
      <w:r w:rsidRPr="00A40242">
        <w:rPr>
          <w:rFonts w:ascii="Palatino Linotype" w:hAnsi="Palatino Linotype" w:cstheme="minorHAnsi"/>
          <w:i/>
          <w:sz w:val="21"/>
          <w:szCs w:val="21"/>
        </w:rPr>
        <w:t>"irtibat"</w:t>
      </w:r>
      <w:r w:rsidRPr="00A40242">
        <w:rPr>
          <w:rFonts w:ascii="Palatino Linotype" w:hAnsi="Palatino Linotype" w:cstheme="minorHAnsi"/>
          <w:sz w:val="21"/>
          <w:szCs w:val="21"/>
        </w:rPr>
        <w:t xml:space="preserve"> ve </w:t>
      </w:r>
      <w:r w:rsidRPr="00A40242">
        <w:rPr>
          <w:rFonts w:ascii="Palatino Linotype" w:hAnsi="Palatino Linotype" w:cstheme="minorHAnsi"/>
          <w:i/>
          <w:sz w:val="21"/>
          <w:szCs w:val="21"/>
        </w:rPr>
        <w:t>"iltisaklarının"</w:t>
      </w:r>
      <w:r w:rsidRPr="00A40242">
        <w:rPr>
          <w:rFonts w:ascii="Palatino Linotype" w:hAnsi="Palatino Linotype" w:cstheme="minorHAnsi"/>
          <w:sz w:val="21"/>
          <w:szCs w:val="21"/>
        </w:rPr>
        <w:t xml:space="preserve"> bulunduğunun </w:t>
      </w:r>
      <w:r w:rsidRPr="00A40242">
        <w:rPr>
          <w:rFonts w:ascii="Palatino Linotype" w:hAnsi="Palatino Linotype" w:cstheme="minorHAnsi"/>
          <w:i/>
          <w:sz w:val="21"/>
          <w:szCs w:val="21"/>
        </w:rPr>
        <w:t>"sabit"</w:t>
      </w:r>
      <w:r w:rsidRPr="00A40242">
        <w:rPr>
          <w:rFonts w:ascii="Palatino Linotype" w:hAnsi="Palatino Linotype" w:cstheme="minorHAnsi"/>
          <w:sz w:val="21"/>
          <w:szCs w:val="21"/>
        </w:rPr>
        <w:t xml:space="preserve"> görüldüğü gibi kesin hüküm içeren ve haklarında henüz dava bile açılmamış kişilerin zan altında kalmalarına neden olan ifadelere yer verilmiş, bu karar ve isimleri HSYK'nın resmî internet sitesinde yayımlanmış, bu yayımdan sonra ihracına karar verilen yargı mensuplarının terör örgütü üyesi olduklarına dair basında günlerce haberler yapılmış ve kamu makamlarının üzerlerine düşen özen yükümlülüğünü yerine getirmemeleri nedeniyle masumiyet karineleri ihlal edilmiştir. Verilen karar ilgililere tebliğ edilmesine rağmen, isimleri internet sitesinde yayınlanmak suretiyle yargı mensupları bir terör örgütüne üye olma isnadıyla karşı karşıya kalmış ve mağdur edilmişlerdir.</w:t>
      </w:r>
      <w:r w:rsidRPr="00A40242">
        <w:rPr>
          <w:rStyle w:val="DipnotBavurusu"/>
          <w:rFonts w:ascii="Palatino Linotype" w:hAnsi="Palatino Linotype" w:cstheme="minorHAnsi"/>
          <w:sz w:val="21"/>
          <w:szCs w:val="21"/>
        </w:rPr>
        <w:footnoteReference w:id="77"/>
      </w:r>
    </w:p>
    <w:p w14:paraId="652CB35E" w14:textId="77777777" w:rsidR="00936167" w:rsidRPr="00A40242" w:rsidRDefault="00936167" w:rsidP="00936167">
      <w:pPr>
        <w:spacing w:before="120" w:after="120" w:line="240" w:lineRule="auto"/>
        <w:ind w:firstLine="567"/>
        <w:jc w:val="both"/>
        <w:rPr>
          <w:rFonts w:ascii="Palatino Linotype" w:hAnsi="Palatino Linotype" w:cstheme="minorHAnsi"/>
          <w:i/>
          <w:sz w:val="21"/>
          <w:szCs w:val="21"/>
        </w:rPr>
      </w:pPr>
      <w:r w:rsidRPr="00A40242">
        <w:rPr>
          <w:rFonts w:ascii="Palatino Linotype" w:hAnsi="Palatino Linotype" w:cstheme="minorHAnsi"/>
          <w:sz w:val="21"/>
          <w:szCs w:val="21"/>
        </w:rPr>
        <w:lastRenderedPageBreak/>
        <w:t xml:space="preserve">Yargı mensuplarının masumiyet karinelerinin ihlaline ilişkin en vahim örnek ise, HSYK Başkanvekili Mehmet Yılmaz'ın 13/08/2016 tarihinde şahsi twitter hesabından yazdığı mesajdır. Zira Başkanvekili bu mesajda; </w:t>
      </w:r>
      <w:r w:rsidRPr="00A40242">
        <w:rPr>
          <w:rFonts w:ascii="Palatino Linotype" w:hAnsi="Palatino Linotype" w:cstheme="minorHAnsi"/>
          <w:i/>
          <w:sz w:val="21"/>
          <w:szCs w:val="21"/>
        </w:rPr>
        <w:t>"hain darbe teşebbüsü sonrası, silahlı terör örgütü üyesi oldukları kesin kanıtlanan yargı mensupları hızla görevden uzaklaştırıldı"</w:t>
      </w:r>
      <w:r w:rsidRPr="00A40242">
        <w:rPr>
          <w:rFonts w:ascii="Palatino Linotype" w:hAnsi="Palatino Linotype" w:cstheme="minorHAnsi"/>
          <w:sz w:val="21"/>
          <w:szCs w:val="21"/>
        </w:rPr>
        <w:t xml:space="preserve"> demiştir</w:t>
      </w:r>
      <w:r w:rsidRPr="00A40242">
        <w:rPr>
          <w:rFonts w:ascii="Palatino Linotype" w:hAnsi="Palatino Linotype" w:cstheme="minorHAnsi"/>
          <w:i/>
          <w:sz w:val="21"/>
          <w:szCs w:val="21"/>
        </w:rPr>
        <w:t>.</w:t>
      </w:r>
      <w:r w:rsidRPr="00A40242">
        <w:rPr>
          <w:rStyle w:val="DipnotBavurusu"/>
          <w:rFonts w:ascii="Palatino Linotype" w:hAnsi="Palatino Linotype" w:cstheme="minorHAnsi"/>
          <w:sz w:val="21"/>
          <w:szCs w:val="21"/>
        </w:rPr>
        <w:footnoteReference w:id="78"/>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Hâkim-savcılarla ilgili ilk ihraç kararının 24/08/2016 tarihinde verildiği dikkate alındığında, bu karardan önce böyle bir mesajın yazılması ihraç edilen kişilerle ilgili kararın aslında çok önceden verildiğini göstermektedir. Bu mesaj Başkanvekilinin tarafsızlığını şüpheye düşürecek önemli bir durum ve 6087 sayılı Kanun'un 41/1. maddesi gereğince çekilmesini gerektirecek bir sebep olmasına rağmen, kendisi çekilmediği gibi ihraç edilen yargı mensuplarının Başkanvekilini ret talepleri de HSYK Genel Kurulunca kabul edilmemiştir.</w:t>
      </w:r>
      <w:r w:rsidRPr="00A40242">
        <w:rPr>
          <w:rStyle w:val="DipnotBavurusu"/>
          <w:rFonts w:ascii="Palatino Linotype" w:hAnsi="Palatino Linotype" w:cstheme="minorHAnsi"/>
          <w:sz w:val="21"/>
          <w:szCs w:val="21"/>
        </w:rPr>
        <w:footnoteReference w:id="79"/>
      </w:r>
      <w:r w:rsidRPr="00A40242">
        <w:rPr>
          <w:rFonts w:ascii="Palatino Linotype" w:hAnsi="Palatino Linotype" w:cstheme="minorHAnsi"/>
          <w:sz w:val="21"/>
          <w:szCs w:val="21"/>
        </w:rPr>
        <w:t xml:space="preserve"> Yine, o dönem Başbakan olan Binali Yıldırım 26/01/2017 tarihinde hâkim ve savcılara hitaben ve ihraç edilen yargı mensuplarını kastederek yaptığı konuşmada; </w:t>
      </w:r>
      <w:r w:rsidRPr="00A40242">
        <w:rPr>
          <w:rFonts w:ascii="Palatino Linotype" w:hAnsi="Palatino Linotype" w:cstheme="minorHAnsi"/>
          <w:i/>
          <w:sz w:val="21"/>
          <w:szCs w:val="21"/>
        </w:rPr>
        <w:t>"…günü geldiğinde de hepsini teker teker tespit edip ayıkladınız. Bugün 3 bin 581 hain sizin aranızda artık yok"</w:t>
      </w:r>
      <w:r w:rsidRPr="00A40242">
        <w:rPr>
          <w:rStyle w:val="DipnotBavurusu"/>
          <w:rFonts w:ascii="Palatino Linotype" w:hAnsi="Palatino Linotype" w:cstheme="minorHAnsi"/>
          <w:sz w:val="21"/>
          <w:szCs w:val="21"/>
        </w:rPr>
        <w:footnoteReference w:id="80"/>
      </w:r>
      <w:r w:rsidRPr="00A40242">
        <w:rPr>
          <w:rFonts w:ascii="Palatino Linotype" w:hAnsi="Palatino Linotype" w:cstheme="minorHAnsi"/>
          <w:sz w:val="21"/>
          <w:szCs w:val="21"/>
        </w:rPr>
        <w:t xml:space="preserve">  ve Cumhurbaşkanı Yardımcısı Fuat Oktay 12/11/2018 tarihinde hâkim-savcı adayları kura töreninde yaptığı konuşmada; </w:t>
      </w:r>
      <w:r w:rsidRPr="00A40242">
        <w:rPr>
          <w:rFonts w:ascii="Palatino Linotype" w:hAnsi="Palatino Linotype" w:cstheme="minorHAnsi"/>
          <w:i/>
          <w:sz w:val="21"/>
          <w:szCs w:val="21"/>
        </w:rPr>
        <w:t>"…a</w:t>
      </w:r>
      <w:r w:rsidRPr="00A40242">
        <w:rPr>
          <w:rFonts w:ascii="Palatino Linotype" w:hAnsi="Palatino Linotype" w:cstheme="minorHAnsi"/>
          <w:i/>
          <w:sz w:val="21"/>
          <w:szCs w:val="21"/>
          <w:shd w:val="clear" w:color="auto" w:fill="FFFFFF"/>
        </w:rPr>
        <w:t>dalet mekanizmamız içindeki FETÖ'cüleri en hızlı temizleyen kurum olmuştur. 4 bin FETÖ üyesi hâkim ve savcı tasfiye edilmiştir. Bunlara hâkim ve savcı demek doğru değildir. Bunlar hâkim ve savcı elbisesi giyen hainlerden başkası değiller"</w:t>
      </w:r>
      <w:r w:rsidRPr="00A40242">
        <w:rPr>
          <w:rStyle w:val="DipnotBavurusu"/>
          <w:rFonts w:ascii="Palatino Linotype" w:hAnsi="Palatino Linotype" w:cstheme="minorHAnsi"/>
          <w:sz w:val="21"/>
          <w:szCs w:val="21"/>
          <w:shd w:val="clear" w:color="auto" w:fill="FFFFFF"/>
        </w:rPr>
        <w:footnoteReference w:id="81"/>
      </w:r>
      <w:r w:rsidRPr="00A40242">
        <w:rPr>
          <w:rFonts w:ascii="Palatino Linotype" w:hAnsi="Palatino Linotype" w:cstheme="minorHAnsi"/>
          <w:sz w:val="21"/>
          <w:szCs w:val="21"/>
        </w:rPr>
        <w:t xml:space="preserve"> diyerek meslekten çıkarılan kişileri </w:t>
      </w:r>
      <w:r w:rsidRPr="00A40242">
        <w:rPr>
          <w:rFonts w:ascii="Palatino Linotype" w:hAnsi="Palatino Linotype" w:cstheme="minorHAnsi"/>
          <w:i/>
          <w:sz w:val="21"/>
          <w:szCs w:val="21"/>
        </w:rPr>
        <w:t>"hain"</w:t>
      </w:r>
      <w:r w:rsidRPr="00A40242">
        <w:rPr>
          <w:rFonts w:ascii="Palatino Linotype" w:hAnsi="Palatino Linotype" w:cstheme="minorHAnsi"/>
          <w:sz w:val="21"/>
          <w:szCs w:val="21"/>
        </w:rPr>
        <w:t xml:space="preserve"> ilan etmişlerdir.</w:t>
      </w:r>
    </w:p>
    <w:p w14:paraId="7EE9F84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AİHM'in konuyla ilgili kararları dikkate alındığında,</w:t>
      </w:r>
      <w:r w:rsidRPr="00A40242">
        <w:rPr>
          <w:rStyle w:val="DipnotBavurusu"/>
          <w:rFonts w:ascii="Palatino Linotype" w:hAnsi="Palatino Linotype" w:cstheme="minorHAnsi"/>
          <w:sz w:val="21"/>
          <w:szCs w:val="21"/>
        </w:rPr>
        <w:footnoteReference w:id="82"/>
      </w:r>
      <w:r w:rsidRPr="00A40242">
        <w:rPr>
          <w:rFonts w:ascii="Palatino Linotype" w:hAnsi="Palatino Linotype" w:cstheme="minorHAnsi"/>
          <w:sz w:val="21"/>
          <w:szCs w:val="21"/>
        </w:rPr>
        <w:t xml:space="preserve"> </w:t>
      </w:r>
      <w:r w:rsidRPr="00A40242">
        <w:rPr>
          <w:rFonts w:ascii="Palatino Linotype" w:hAnsi="Palatino Linotype" w:cstheme="minorHAnsi"/>
          <w:i/>
          <w:sz w:val="21"/>
          <w:szCs w:val="21"/>
        </w:rPr>
        <w:t>"silahlı terör örgütü üyesi"</w:t>
      </w:r>
      <w:r w:rsidRPr="00A40242">
        <w:rPr>
          <w:rFonts w:ascii="Palatino Linotype" w:hAnsi="Palatino Linotype" w:cstheme="minorHAnsi"/>
          <w:sz w:val="21"/>
          <w:szCs w:val="21"/>
        </w:rPr>
        <w:t xml:space="preserve"> ve </w:t>
      </w:r>
      <w:r w:rsidRPr="00A40242">
        <w:rPr>
          <w:rFonts w:ascii="Palatino Linotype" w:hAnsi="Palatino Linotype" w:cstheme="minorHAnsi"/>
          <w:i/>
          <w:sz w:val="21"/>
          <w:szCs w:val="21"/>
        </w:rPr>
        <w:t>"hain"</w:t>
      </w:r>
      <w:r w:rsidRPr="00A40242">
        <w:rPr>
          <w:rFonts w:ascii="Palatino Linotype" w:hAnsi="Palatino Linotype" w:cstheme="minorHAnsi"/>
          <w:sz w:val="21"/>
          <w:szCs w:val="21"/>
        </w:rPr>
        <w:t xml:space="preserve"> oldukları en yetkili kamu görevlileri olan Cumhurbaşkanı Yardımcısı, Başbakan ve HSYK Başkanvekili tarafından ilan edilmek suretiyle, haklarında kesinleşmiş bir mahkûmiyet kararı bulunmayan yargı mensuplarının masumiyet karineleri alenen ihlal edilmiştir. Konuyla ilgili</w:t>
      </w:r>
      <w:r w:rsidRPr="00A40242">
        <w:rPr>
          <w:rFonts w:ascii="Palatino Linotype" w:hAnsi="Palatino Linotype" w:cstheme="minorHAnsi"/>
          <w:color w:val="FF0000"/>
          <w:sz w:val="21"/>
          <w:szCs w:val="21"/>
        </w:rPr>
        <w:t xml:space="preserve"> </w:t>
      </w:r>
      <w:r w:rsidRPr="00A40242">
        <w:rPr>
          <w:rFonts w:ascii="Palatino Linotype" w:hAnsi="Palatino Linotype" w:cstheme="minorHAnsi"/>
          <w:sz w:val="21"/>
          <w:szCs w:val="21"/>
        </w:rPr>
        <w:t>olarak Avrupa Komisyonu'nca hazırlanan 2018 yılı Türkiye raporunda da, yürütme ve yasama erki temsilcilerinin Avrupa standartlarını ve kişilerin masumiyet karinelerini göz ardı ederek sürmekte olan davalarla ilgili yorumda bulunduklarını belirtilmiştir.</w:t>
      </w:r>
      <w:r w:rsidRPr="00A40242">
        <w:rPr>
          <w:rStyle w:val="DipnotBavurusu"/>
          <w:rFonts w:ascii="Palatino Linotype" w:hAnsi="Palatino Linotype" w:cstheme="minorHAnsi"/>
          <w:sz w:val="21"/>
          <w:szCs w:val="21"/>
        </w:rPr>
        <w:footnoteReference w:id="83"/>
      </w:r>
    </w:p>
    <w:p w14:paraId="70E5F761" w14:textId="77777777" w:rsidR="00936167" w:rsidRPr="00A40242" w:rsidRDefault="00936167" w:rsidP="00936167">
      <w:pPr>
        <w:pStyle w:val="Balk3"/>
        <w:numPr>
          <w:ilvl w:val="0"/>
          <w:numId w:val="41"/>
        </w:numPr>
        <w:spacing w:before="120" w:after="120" w:line="240" w:lineRule="auto"/>
        <w:ind w:left="993" w:hanging="426"/>
        <w:rPr>
          <w:rFonts w:cstheme="minorHAnsi"/>
          <w:color w:val="auto"/>
          <w:sz w:val="21"/>
          <w:szCs w:val="21"/>
        </w:rPr>
      </w:pPr>
      <w:bookmarkStart w:id="9" w:name="_Toc7451327"/>
      <w:r w:rsidRPr="00A40242">
        <w:rPr>
          <w:rFonts w:cstheme="minorHAnsi"/>
          <w:color w:val="auto"/>
          <w:sz w:val="21"/>
          <w:szCs w:val="21"/>
        </w:rPr>
        <w:t>Savunma Hakkı Açısından Kararın Değerlendirilmesi</w:t>
      </w:r>
      <w:bookmarkEnd w:id="9"/>
    </w:p>
    <w:p w14:paraId="41504ABC"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Savunma hakkı, AİHS'in 6/3. maddesinin a, b, c, d bentlerinde düzenlenmiştir. Bu hak, sadece ceza davalarında değil, AİHS'in 6/1. maddesi gereğince medenî ve idarî hak ve yükümlülüklerde de uygulama alanı bulur.</w:t>
      </w:r>
      <w:r w:rsidRPr="00A40242">
        <w:rPr>
          <w:rFonts w:ascii="Palatino Linotype" w:eastAsiaTheme="minorHAnsi" w:hAnsi="Palatino Linotype" w:cs="Times New Roman"/>
          <w:sz w:val="21"/>
          <w:szCs w:val="21"/>
          <w:vertAlign w:val="superscript"/>
          <w:lang w:eastAsia="en-US"/>
        </w:rPr>
        <w:footnoteReference w:id="84"/>
      </w:r>
      <w:r w:rsidRPr="00A40242">
        <w:rPr>
          <w:rFonts w:ascii="Palatino Linotype" w:eastAsiaTheme="minorHAnsi" w:hAnsi="Palatino Linotype" w:cs="Times New Roman"/>
          <w:sz w:val="21"/>
          <w:szCs w:val="21"/>
          <w:lang w:eastAsia="en-US"/>
        </w:rPr>
        <w:t xml:space="preserve"> AYM'nin konuyla ilgili görüşü de bu yöndedir.</w:t>
      </w:r>
      <w:r w:rsidRPr="00A40242">
        <w:rPr>
          <w:rFonts w:ascii="Palatino Linotype" w:eastAsiaTheme="minorHAnsi" w:hAnsi="Palatino Linotype" w:cs="Times New Roman"/>
          <w:sz w:val="21"/>
          <w:szCs w:val="21"/>
          <w:vertAlign w:val="superscript"/>
          <w:lang w:eastAsia="en-US"/>
        </w:rPr>
        <w:footnoteReference w:id="85"/>
      </w:r>
    </w:p>
    <w:p w14:paraId="404FE9EF"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lastRenderedPageBreak/>
        <w:t>Adil yargılanma hakkı, kamu yararı ne kadar güçlü olursa olsun vazgeçilemeyecek haklardandır ve bu hak kapsamında tanınan güvenceler en basit suçlarda olduğu gibi örgütlü suçlarda da ilgililere tanınmalıdır.</w:t>
      </w:r>
      <w:r w:rsidRPr="00A40242">
        <w:rPr>
          <w:rFonts w:ascii="Palatino Linotype" w:eastAsiaTheme="minorHAnsi" w:hAnsi="Palatino Linotype" w:cs="Times New Roman"/>
          <w:sz w:val="21"/>
          <w:szCs w:val="21"/>
          <w:vertAlign w:val="superscript"/>
          <w:lang w:eastAsia="en-US"/>
        </w:rPr>
        <w:footnoteReference w:id="86"/>
      </w:r>
    </w:p>
    <w:p w14:paraId="54CE5548" w14:textId="77777777" w:rsidR="00936167" w:rsidRPr="00A40242" w:rsidRDefault="00936167" w:rsidP="00936167">
      <w:pPr>
        <w:spacing w:before="120" w:after="120" w:line="240" w:lineRule="auto"/>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 xml:space="preserve">    </w:t>
      </w:r>
      <w:r w:rsidRPr="00A40242">
        <w:rPr>
          <w:rFonts w:ascii="Palatino Linotype" w:eastAsiaTheme="minorHAnsi" w:hAnsi="Palatino Linotype" w:cs="Times New Roman"/>
          <w:sz w:val="21"/>
          <w:szCs w:val="21"/>
          <w:lang w:eastAsia="en-US"/>
        </w:rPr>
        <w:tab/>
        <w:t>Disiplin işlemlerine, başka bir ifadeyle idarî işlemlere ilişkin savunma hakkını düzenleyen Anayasa'nın 129/2. maddesinde memurlar ve diğer kamu görevlilerine savunma hakkı tanınmadan disiplin cezası verilemeyeceği belirtilmiştir. Hâkimler ve savcılar hakkında disiplin cezası sürecinin başlatılabilmesi Anayasa'nın 159/9. maddesinde sıkı şartlara bağlanmış ve bu düzenlemeye paralel olarak 2802 sayılı Hâkimler ve Savcılar Kanunu'nun</w:t>
      </w:r>
      <w:r w:rsidRPr="00A40242">
        <w:rPr>
          <w:rFonts w:ascii="Palatino Linotype" w:eastAsiaTheme="minorHAnsi" w:hAnsi="Palatino Linotype" w:cs="Times New Roman"/>
          <w:sz w:val="21"/>
          <w:szCs w:val="21"/>
          <w:vertAlign w:val="superscript"/>
          <w:lang w:eastAsia="en-US"/>
        </w:rPr>
        <w:footnoteReference w:id="87"/>
      </w:r>
      <w:r w:rsidRPr="00A40242">
        <w:rPr>
          <w:rFonts w:ascii="Palatino Linotype" w:eastAsiaTheme="minorHAnsi" w:hAnsi="Palatino Linotype" w:cs="Times New Roman"/>
          <w:sz w:val="21"/>
          <w:szCs w:val="21"/>
          <w:lang w:eastAsia="en-US"/>
        </w:rPr>
        <w:t xml:space="preserve"> 71. maddesinde; "</w:t>
      </w:r>
      <w:r w:rsidRPr="00A40242">
        <w:rPr>
          <w:rFonts w:ascii="Palatino Linotype" w:eastAsiaTheme="minorHAnsi" w:hAnsi="Palatino Linotype" w:cs="Times New Roman"/>
          <w:i/>
          <w:sz w:val="21"/>
          <w:szCs w:val="21"/>
          <w:lang w:eastAsia="en-US"/>
        </w:rPr>
        <w:t>Hakimler ve savcılar hakkında, savunmaları alınmadan disiplin cezası verilemez"</w:t>
      </w:r>
      <w:r w:rsidRPr="00A40242">
        <w:rPr>
          <w:rFonts w:ascii="Palatino Linotype" w:eastAsiaTheme="minorHAnsi" w:hAnsi="Palatino Linotype" w:cs="Times New Roman"/>
          <w:sz w:val="21"/>
          <w:szCs w:val="21"/>
          <w:lang w:eastAsia="en-US"/>
        </w:rPr>
        <w:t xml:space="preserve"> denilmiştir.    </w:t>
      </w:r>
      <w:r w:rsidRPr="00A40242">
        <w:rPr>
          <w:rFonts w:ascii="Palatino Linotype" w:eastAsiaTheme="minorHAnsi" w:hAnsi="Palatino Linotype" w:cs="Times New Roman"/>
          <w:sz w:val="21"/>
          <w:szCs w:val="21"/>
          <w:lang w:eastAsia="en-US"/>
        </w:rPr>
        <w:tab/>
      </w:r>
    </w:p>
    <w:p w14:paraId="0AAA94BC"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AİHM'e göre, disiplin soruşturmasında keyfiliğin önlenmesi adına başvurucu gerekli güvencelerden faydalandırılmalı ve bu bağlamda; karardan önce müfettiş tarafından dinlenmeli, dinlenen tanık ifadeleri ile müfettiş raporları kendisine iletilmeli ve verilen karar bir üst merci tarafından denetlenmelidir. Bu denetim kapsamında da, ilgilinin düşüncelerini sunup, aleyhine olan hususları çürütebilmesine imkân tanınmalıdır.</w:t>
      </w:r>
      <w:r w:rsidRPr="00A40242">
        <w:rPr>
          <w:rFonts w:ascii="Palatino Linotype" w:eastAsiaTheme="minorHAnsi" w:hAnsi="Palatino Linotype" w:cs="Times New Roman"/>
          <w:sz w:val="21"/>
          <w:szCs w:val="21"/>
          <w:vertAlign w:val="superscript"/>
          <w:lang w:eastAsia="en-US"/>
        </w:rPr>
        <w:footnoteReference w:id="88"/>
      </w:r>
    </w:p>
    <w:p w14:paraId="4D18A126"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 xml:space="preserve">HSYK kararından önce ilgili hâkim ve savcılar hakkında yürütülen bir soruşturma bulunmadığı gibi, </w:t>
      </w:r>
      <w:r w:rsidRPr="00A40242">
        <w:rPr>
          <w:rFonts w:ascii="Palatino Linotype" w:eastAsiaTheme="minorHAnsi" w:hAnsi="Palatino Linotype"/>
          <w:sz w:val="21"/>
          <w:szCs w:val="21"/>
          <w:lang w:eastAsia="en-US"/>
        </w:rPr>
        <w:t>hangi eylemlerinin ihracı gerektirdiği ve bu eylemlerin KHK'de öngörülen suç tiplerinden hangisine girdiği bildirilmemiş, karar tarihinde olmayan delil, bilgi ve belgeler sanki o dönemde varmış gibi gösterilerek adeta "</w:t>
      </w:r>
      <w:r w:rsidRPr="00A40242">
        <w:rPr>
          <w:rFonts w:ascii="Palatino Linotype" w:eastAsiaTheme="minorHAnsi" w:hAnsi="Palatino Linotype"/>
          <w:i/>
          <w:sz w:val="21"/>
          <w:szCs w:val="21"/>
          <w:lang w:eastAsia="en-US"/>
        </w:rPr>
        <w:t>önce ihraç edelim, sonra gerekçe buluruz"</w:t>
      </w:r>
      <w:r w:rsidRPr="00A40242">
        <w:rPr>
          <w:rFonts w:ascii="Palatino Linotype" w:eastAsiaTheme="minorHAnsi" w:hAnsi="Palatino Linotype"/>
          <w:sz w:val="21"/>
          <w:szCs w:val="21"/>
          <w:lang w:eastAsia="en-US"/>
        </w:rPr>
        <w:t xml:space="preserve"> mantığıyla hareket edilerek ilgililerin terör örgütleriyle bağı ortaya konulmaya çalışılmıştır. K</w:t>
      </w:r>
      <w:r w:rsidRPr="00A40242">
        <w:rPr>
          <w:rFonts w:ascii="Palatino Linotype" w:eastAsiaTheme="minorHAnsi" w:hAnsi="Palatino Linotype" w:cs="Times New Roman"/>
          <w:sz w:val="21"/>
          <w:szCs w:val="21"/>
          <w:lang w:eastAsia="en-US"/>
        </w:rPr>
        <w:t>ararda ilgililere cezai bir isnatta bulunulduğundan, adil yargılanma hakkının tanıdığı tüm güvencelerin, yani silahların eşitliği ve çelişmeli yargılama ilkelerine uygun olarak avukata erişim hakkı, hakkındaki suçlamalara cevap verme, aleyhine olan delilleri görüp değerlendirme ve lehine olan delilleri ileri sürebilme imkânlarının sağlanması gerekirdi.</w:t>
      </w:r>
      <w:r w:rsidRPr="00A40242">
        <w:rPr>
          <w:rFonts w:ascii="Palatino Linotype" w:eastAsiaTheme="minorHAnsi" w:hAnsi="Palatino Linotype" w:cs="Times New Roman"/>
          <w:sz w:val="21"/>
          <w:szCs w:val="21"/>
          <w:vertAlign w:val="superscript"/>
          <w:lang w:eastAsia="en-US"/>
        </w:rPr>
        <w:footnoteReference w:id="89"/>
      </w:r>
      <w:r w:rsidRPr="00A40242">
        <w:rPr>
          <w:rFonts w:ascii="Palatino Linotype" w:eastAsiaTheme="minorHAnsi" w:hAnsi="Palatino Linotype" w:cs="Times New Roman"/>
          <w:sz w:val="21"/>
          <w:szCs w:val="21"/>
          <w:lang w:eastAsia="en-US"/>
        </w:rPr>
        <w:t xml:space="preserve"> Ancak, bu hususların hiç birine riayet edilmediği gibi, en temel hak olan savunma hakkı bile tanınmamış ve süreç yöntemine uygun işletilmediğinden ilgililerin adil yargılanma hakları ihlal edilmiştir.</w:t>
      </w:r>
      <w:r w:rsidRPr="00A40242">
        <w:rPr>
          <w:rFonts w:ascii="Palatino Linotype" w:eastAsiaTheme="minorHAnsi" w:hAnsi="Palatino Linotype" w:cs="Times New Roman"/>
          <w:sz w:val="21"/>
          <w:szCs w:val="21"/>
          <w:vertAlign w:val="superscript"/>
          <w:lang w:eastAsia="en-US"/>
        </w:rPr>
        <w:footnoteReference w:id="90"/>
      </w:r>
    </w:p>
    <w:p w14:paraId="44EB1921"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Savunma hakkı verilmeden hâkim-savcıların meslekten çıkarılmasına Avrupa Birliği'nin 2016 yılı Türkiye ile ilgili ilerleme raporunda da yer verilmiş ve bu uygulamanın yargı ve HSYK'nın bağımsızlığı açısından büyük bir geriye gidiş olduğu belirtilmiştir.</w:t>
      </w:r>
      <w:r w:rsidRPr="00A40242">
        <w:rPr>
          <w:rFonts w:ascii="Palatino Linotype" w:eastAsiaTheme="minorHAnsi" w:hAnsi="Palatino Linotype" w:cs="Times New Roman"/>
          <w:sz w:val="21"/>
          <w:szCs w:val="21"/>
          <w:vertAlign w:val="superscript"/>
          <w:lang w:eastAsia="en-US"/>
        </w:rPr>
        <w:footnoteReference w:id="91"/>
      </w:r>
    </w:p>
    <w:p w14:paraId="0A2FD72A" w14:textId="77777777" w:rsidR="00936167" w:rsidRPr="00A40242" w:rsidRDefault="00936167" w:rsidP="00936167">
      <w:pPr>
        <w:pStyle w:val="Balk2"/>
        <w:numPr>
          <w:ilvl w:val="0"/>
          <w:numId w:val="40"/>
        </w:numPr>
        <w:spacing w:before="120" w:after="120" w:line="240" w:lineRule="auto"/>
        <w:ind w:left="993" w:hanging="426"/>
        <w:rPr>
          <w:rFonts w:cstheme="minorHAnsi"/>
          <w:sz w:val="21"/>
          <w:szCs w:val="21"/>
        </w:rPr>
      </w:pPr>
      <w:bookmarkStart w:id="10" w:name="_Toc7451328"/>
      <w:r w:rsidRPr="00874B7E">
        <w:rPr>
          <w:rFonts w:cstheme="minorHAnsi"/>
          <w:b/>
          <w:bCs/>
          <w:sz w:val="21"/>
          <w:szCs w:val="21"/>
        </w:rPr>
        <w:lastRenderedPageBreak/>
        <w:t>SUÇ VE CEZADA YASALLIK İLKESİ AÇISINDAN KARARIN DEĞERLENDİRİLMESİ</w:t>
      </w:r>
      <w:r w:rsidRPr="00A40242">
        <w:rPr>
          <w:rStyle w:val="DipnotBavurusu"/>
          <w:rFonts w:cstheme="minorHAnsi"/>
          <w:sz w:val="21"/>
          <w:szCs w:val="21"/>
        </w:rPr>
        <w:footnoteReference w:id="92"/>
      </w:r>
      <w:bookmarkEnd w:id="10"/>
    </w:p>
    <w:p w14:paraId="685E275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AİHM'e göre idari yaptırım kararında cezai bir isnatta bulunulması halinde, AİHS'in 6. maddesi yanında 7. maddesinin de uygulanması mümkündür. Yani, bu hak doğrudan ceza hukuku ile ilgili olsa da suç isnadı içeren disiplin cezalarında da uygulanabilir.</w:t>
      </w:r>
      <w:r w:rsidRPr="00A40242">
        <w:rPr>
          <w:rStyle w:val="DipnotBavurusu"/>
          <w:rFonts w:ascii="Palatino Linotype" w:hAnsi="Palatino Linotype" w:cstheme="minorHAnsi"/>
          <w:sz w:val="21"/>
          <w:szCs w:val="21"/>
        </w:rPr>
        <w:footnoteReference w:id="93"/>
      </w:r>
    </w:p>
    <w:p w14:paraId="7F193B6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HSYK kararında terör örgütü üyeliği gibi cezai bir isnatta bulunulduğu gibi, bu karar yargı mensuplarının tutuklanmalarına ve haklarında verilen mahkûmiyet kararlarına esas teşkil ettiğinden, kararla ilgili AİHS'in 7. maddesinin uygulanmasında bir sakınca yoktur.</w:t>
      </w:r>
    </w:p>
    <w:p w14:paraId="0609D59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HSYK kararı aleyhine yapılacak başvurularda 7. maddenin uygulanmasıyla ilgili bir sorun bulunmasa da, acaba verilen karar bu hakkın unsurlarından olan yasallık-belirlilik ve geriye yürümezlik ilkelerine uygun mudur?</w:t>
      </w:r>
    </w:p>
    <w:p w14:paraId="4253A140" w14:textId="77777777" w:rsidR="00936167" w:rsidRPr="00A40242" w:rsidRDefault="00936167" w:rsidP="00936167">
      <w:pPr>
        <w:pStyle w:val="Balk3"/>
        <w:numPr>
          <w:ilvl w:val="1"/>
          <w:numId w:val="39"/>
        </w:numPr>
        <w:spacing w:before="120" w:after="120" w:line="240" w:lineRule="auto"/>
        <w:ind w:left="993" w:hanging="426"/>
        <w:jc w:val="both"/>
        <w:rPr>
          <w:rFonts w:cstheme="minorHAnsi"/>
          <w:color w:val="auto"/>
          <w:sz w:val="21"/>
          <w:szCs w:val="21"/>
        </w:rPr>
      </w:pPr>
      <w:bookmarkStart w:id="11" w:name="_Toc7451329"/>
      <w:r w:rsidRPr="00A40242">
        <w:rPr>
          <w:rFonts w:cstheme="minorHAnsi"/>
          <w:color w:val="auto"/>
          <w:sz w:val="21"/>
          <w:szCs w:val="21"/>
        </w:rPr>
        <w:t>Yasallık - Belirlilik İlkesi Açısından Kararın Değerlendirilmesi</w:t>
      </w:r>
      <w:bookmarkEnd w:id="11"/>
    </w:p>
    <w:p w14:paraId="1D5DF23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667 sayılı OHAL KHK'sinin 3. maddesi ile daha önce Türk hukuk sisteminde bulunmayan irtibat ve iltisak gibi kavramlar ihdas edilmiştir. Bu kavramların bir disiplin ya da ceza soruşturmasına ilişkin olduklarına dair bir açıklık yoktur.</w:t>
      </w:r>
    </w:p>
    <w:p w14:paraId="3821D2E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Hâkim ve savcılık mesleğine son verecek yaptırımın iç hukukta bir temelinin bulunması, ilgililerin hukuka erişebilmeleri ve davranışlarının sonuçlarını öngörebilmeleri gerekir.</w:t>
      </w:r>
      <w:r w:rsidRPr="00A40242">
        <w:rPr>
          <w:rStyle w:val="DipnotBavurusu1"/>
          <w:rFonts w:ascii="Palatino Linotype" w:hAnsi="Palatino Linotype" w:cstheme="minorHAnsi"/>
          <w:sz w:val="21"/>
          <w:szCs w:val="21"/>
        </w:rPr>
        <w:footnoteReference w:id="94"/>
      </w:r>
      <w:r w:rsidRPr="00A40242">
        <w:rPr>
          <w:rFonts w:ascii="Palatino Linotype" w:hAnsi="Palatino Linotype" w:cstheme="minorHAnsi"/>
          <w:sz w:val="21"/>
          <w:szCs w:val="21"/>
        </w:rPr>
        <w:t xml:space="preserve"> Ancak, OHAL KHK'si ile getirilen kavramlar yeterince açık olmadıklarından her türlü olayı içine alacak şekilde yorumlanmaya müsaittir ve HSYK tarafından da bu şekilde yorumlanmıştır. Ayrıca, bu kavramların yargı mensuplarının özel yaşamlarına mı yoksa mesleki yaşamlarına mı ilişkin olduğu belli olmadığından, mesleki veya özel yaşamlarındaki davranışlarından hangilerinin hukuka aykırı olduğunu öngörebilmeleri mümkün değildir. Fakat özellikle anayasal düzeni ortadan kaldırmayı hedefleyen bir örgütle bağlantıyı ifade eden kavramların açık ve belirgin olması gerekir. </w:t>
      </w:r>
    </w:p>
    <w:p w14:paraId="04A537E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Memurlara, dolayısıyla hâkim-savcılara devlete yönelen ve mevcut Anayasal sistemin özüne karşı çıkan gruplardan kendilerini soyutlama ödevi yüklenmiştir.</w:t>
      </w:r>
      <w:r w:rsidRPr="00A40242">
        <w:rPr>
          <w:rStyle w:val="DipnotBavurusu1"/>
          <w:rFonts w:ascii="Palatino Linotype" w:hAnsi="Palatino Linotype" w:cstheme="minorHAnsi"/>
          <w:sz w:val="21"/>
          <w:szCs w:val="21"/>
        </w:rPr>
        <w:footnoteReference w:id="95"/>
      </w:r>
      <w:r w:rsidRPr="00A40242">
        <w:rPr>
          <w:rFonts w:ascii="Palatino Linotype" w:hAnsi="Palatino Linotype" w:cstheme="minorHAnsi"/>
          <w:sz w:val="21"/>
          <w:szCs w:val="21"/>
        </w:rPr>
        <w:t xml:space="preserve"> Bu ödeve aykırı davranan yargı mensuplarının cezalandırılmasında bir sakınca yoktur. Ancak, bu ödevin hangi hallerde ihlal edildiği konusunda idareye denetimsiz ve geniş takdir yetkisi veren OHAL KHK'si ile önceki kanuni düzenlemelerde yer almayan, muğlak ve müphem kavramlarla işlem tesisi devletin izlediği meşru amaçla orantılı değildir.</w:t>
      </w:r>
      <w:r w:rsidRPr="00A40242">
        <w:rPr>
          <w:rStyle w:val="DipnotBavurusu1"/>
          <w:rFonts w:ascii="Palatino Linotype" w:hAnsi="Palatino Linotype" w:cstheme="minorHAnsi"/>
          <w:sz w:val="21"/>
          <w:szCs w:val="21"/>
        </w:rPr>
        <w:footnoteReference w:id="96"/>
      </w:r>
    </w:p>
    <w:p w14:paraId="515F153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HSYK kararı belirlilik-öngörülebilirlik ilkesine aykırı olduğu gibi, yasallık ilkesine de aykırıdır. Şöyle ki, karara dayanak olarak KHK'nin 3. maddesindeki, </w:t>
      </w:r>
      <w:r w:rsidRPr="00A40242">
        <w:rPr>
          <w:rFonts w:ascii="Palatino Linotype" w:hAnsi="Palatino Linotype" w:cstheme="minorHAnsi"/>
          <w:i/>
          <w:sz w:val="21"/>
          <w:szCs w:val="21"/>
        </w:rPr>
        <w:t xml:space="preserve">"terör örgütlerine ve MGK'ca devletin milli güvenliğine karşı faaliyette bulunduğuna karar verilen yapı, oluşum veya gruplara üyeliği, mensubiyeti veya iltisakı yahut bunlarla irtibatlı olduğu değerlendirilenlerin meslekte kalmayacaklarına </w:t>
      </w:r>
      <w:r w:rsidRPr="00A40242">
        <w:rPr>
          <w:rFonts w:ascii="Palatino Linotype" w:hAnsi="Palatino Linotype" w:cstheme="minorHAnsi"/>
          <w:i/>
          <w:sz w:val="21"/>
          <w:szCs w:val="21"/>
        </w:rPr>
        <w:lastRenderedPageBreak/>
        <w:t>karar verilir"</w:t>
      </w:r>
      <w:r w:rsidRPr="00A40242">
        <w:rPr>
          <w:rFonts w:ascii="Palatino Linotype" w:hAnsi="Palatino Linotype" w:cstheme="minorHAnsi"/>
          <w:sz w:val="21"/>
          <w:szCs w:val="21"/>
        </w:rPr>
        <w:t xml:space="preserve"> ifadesi gösterilmiştir. Maddeden de de anlaşılacağı üzere, terör örgütü ve bu şekilde kabul edilen yapılarla bağlantıyı gösteren dört farklı ilişki tipine yer verilmiş olup, ilgililere hangi davranış(lar)ı sebebiyle sayılan ilişki tiplerinden birine girdiğinin bildirilmesi gerekir.</w:t>
      </w:r>
      <w:r w:rsidRPr="00A40242">
        <w:rPr>
          <w:rStyle w:val="DipnotBavurusu"/>
          <w:rFonts w:ascii="Palatino Linotype" w:hAnsi="Palatino Linotype" w:cstheme="minorHAnsi"/>
          <w:sz w:val="21"/>
          <w:szCs w:val="21"/>
        </w:rPr>
        <w:footnoteReference w:id="97"/>
      </w:r>
      <w:r w:rsidRPr="00A40242">
        <w:rPr>
          <w:rFonts w:ascii="Palatino Linotype" w:hAnsi="Palatino Linotype" w:cstheme="minorHAnsi"/>
          <w:sz w:val="21"/>
          <w:szCs w:val="21"/>
        </w:rPr>
        <w:t xml:space="preserve"> Ancak, HSYK kararında bu konuda bir bireyselleştirme yapılmamış ve herkesle ilgili aynı şablon karar verilerek yasallık ilkesi ihlal edilmiştir.</w:t>
      </w:r>
    </w:p>
    <w:p w14:paraId="47BD35C5" w14:textId="77777777" w:rsidR="00936167" w:rsidRPr="00A40242" w:rsidRDefault="00936167" w:rsidP="00936167">
      <w:pPr>
        <w:spacing w:before="120" w:after="120" w:line="240" w:lineRule="auto"/>
        <w:ind w:firstLine="567"/>
        <w:jc w:val="both"/>
        <w:rPr>
          <w:rFonts w:ascii="Palatino Linotype" w:hAnsi="Palatino Linotype" w:cstheme="minorHAnsi"/>
          <w:b/>
          <w:bCs/>
          <w:sz w:val="21"/>
          <w:szCs w:val="21"/>
        </w:rPr>
      </w:pPr>
      <w:r w:rsidRPr="00A40242">
        <w:rPr>
          <w:rFonts w:ascii="Palatino Linotype" w:hAnsi="Palatino Linotype" w:cstheme="minorHAnsi"/>
          <w:sz w:val="21"/>
          <w:szCs w:val="21"/>
        </w:rPr>
        <w:t xml:space="preserve">Ayrıca, maddedeki </w:t>
      </w:r>
      <w:r w:rsidRPr="00A40242">
        <w:rPr>
          <w:rFonts w:ascii="Palatino Linotype" w:hAnsi="Palatino Linotype" w:cstheme="minorHAnsi"/>
          <w:i/>
          <w:iCs/>
          <w:sz w:val="21"/>
          <w:szCs w:val="21"/>
        </w:rPr>
        <w:t>“Milli Güvenlik Kurulunca devletin milli güvenliğine karşı faaliyette bulunduğuna karar verilen yapı, oluşum veya gruplara”</w:t>
      </w:r>
      <w:r w:rsidRPr="00A40242">
        <w:rPr>
          <w:rFonts w:ascii="Palatino Linotype" w:hAnsi="Palatino Linotype" w:cstheme="minorHAnsi"/>
          <w:sz w:val="21"/>
          <w:szCs w:val="21"/>
        </w:rPr>
        <w:t xml:space="preserve"> ifadesi de açıkça suç ve cezada yasallık ilkesine aykırıdır. Çünkü bu ifadeyle, yasama organının daha belirli ve açık yasa çıkarma yükümlülüğü ihlal edilerek ve Anayasa'nın 38/3. ve TCK'nın 2/2. maddelerine aykırı olarak idareye düzenleyici işlemlerle suç ve ceza ihdası imkânı verilmiştir. Başka bir ifadeyle, kesinleşmiş mahkeme kararı olmaksızın MGK tarafından alınacak kararla herhangi bir yapı sakıncalı, kişilerde bu yapıyla irtibatlı kabul edilerek suçlu ilan edilebilecektir. Ancak, hâkim ve savcıların irtibatlı ve iltisaklı olduğu iddia edilen yapının silahlı bir terör örgütü olduğuna ilişkin ihraç kararının verildiği tarih itibariyle kesinleşmiş bir mahkeme kararı yoktur. Zira bu yönde </w:t>
      </w:r>
      <w:r>
        <w:rPr>
          <w:rFonts w:ascii="Palatino Linotype" w:hAnsi="Palatino Linotype" w:cstheme="minorHAnsi"/>
          <w:sz w:val="21"/>
          <w:szCs w:val="21"/>
        </w:rPr>
        <w:t>verilmiş bir karar ilk olarak 26/09</w:t>
      </w:r>
      <w:r w:rsidRPr="00A40242">
        <w:rPr>
          <w:rFonts w:ascii="Palatino Linotype" w:hAnsi="Palatino Linotype" w:cstheme="minorHAnsi"/>
          <w:sz w:val="21"/>
          <w:szCs w:val="21"/>
        </w:rPr>
        <w:t>/2017 tarihinde kesinleşmiştir</w:t>
      </w:r>
      <w:r w:rsidRPr="00A40242">
        <w:rPr>
          <w:rFonts w:ascii="Palatino Linotype" w:hAnsi="Palatino Linotype" w:cstheme="minorHAnsi"/>
          <w:b/>
          <w:bCs/>
          <w:sz w:val="21"/>
          <w:szCs w:val="21"/>
        </w:rPr>
        <w:t>.</w:t>
      </w:r>
      <w:r w:rsidRPr="00A40242">
        <w:rPr>
          <w:rStyle w:val="DipnotBavurusu"/>
          <w:rFonts w:ascii="Palatino Linotype" w:hAnsi="Palatino Linotype" w:cstheme="minorHAnsi"/>
          <w:bCs/>
          <w:sz w:val="21"/>
          <w:szCs w:val="21"/>
        </w:rPr>
        <w:footnoteReference w:id="98"/>
      </w:r>
    </w:p>
    <w:p w14:paraId="40C4A427" w14:textId="77777777" w:rsidR="00936167" w:rsidRPr="00A40242" w:rsidRDefault="00936167" w:rsidP="00936167">
      <w:pPr>
        <w:pStyle w:val="Balk3"/>
        <w:numPr>
          <w:ilvl w:val="1"/>
          <w:numId w:val="39"/>
        </w:numPr>
        <w:spacing w:before="120" w:after="120" w:line="240" w:lineRule="auto"/>
        <w:ind w:left="993" w:hanging="426"/>
        <w:jc w:val="both"/>
        <w:rPr>
          <w:rFonts w:cstheme="minorHAnsi"/>
          <w:color w:val="auto"/>
          <w:sz w:val="21"/>
          <w:szCs w:val="21"/>
        </w:rPr>
      </w:pPr>
      <w:bookmarkStart w:id="12" w:name="_Toc7451330"/>
      <w:r w:rsidRPr="00A40242">
        <w:rPr>
          <w:rFonts w:cstheme="minorHAnsi"/>
          <w:color w:val="auto"/>
          <w:sz w:val="21"/>
          <w:szCs w:val="21"/>
        </w:rPr>
        <w:t>Geriye Yürümezlik İlkesi Açısından Kararın Değerlendirilmesi</w:t>
      </w:r>
      <w:bookmarkEnd w:id="12"/>
    </w:p>
    <w:p w14:paraId="52DA40FC" w14:textId="77777777" w:rsidR="00936167" w:rsidRPr="00A40242" w:rsidRDefault="00936167" w:rsidP="00936167">
      <w:pPr>
        <w:tabs>
          <w:tab w:val="left" w:pos="709"/>
        </w:tabs>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667 sayılı OHAL KHK'sinin 23/07/2016 tarihinde yayımlandığı dikkate alındığında, bu kanuni düzenlemenin yayımlandığı tarihten sonra gerçekleştirilen eylem ve davranışlar için geçerli olması gerekir. Ancak, karar da ilgililerin hâkim adaylığı döneminden itibaren meslek yaşamlarındaki eylem ve davranışları yaptırıma konu edilmiş ve KHK hükmü geçmişe yürür şekilde uygulanarak AİHS'in 7. maddesine aykırı davranılmıştır. Yine, kararda geçmişe ilişkin olan bu hususlara ilişkin yasada öngörülen disiplin ve ceza zamanaşımı sürelerinin geçip geçmediği de hiçbir şekilde tartışılmamıştır.</w:t>
      </w:r>
    </w:p>
    <w:p w14:paraId="19FBF511" w14:textId="77777777" w:rsidR="00936167" w:rsidRPr="00A40242" w:rsidRDefault="00936167" w:rsidP="00936167">
      <w:pPr>
        <w:pStyle w:val="Balk2"/>
        <w:spacing w:before="120" w:after="120" w:line="240" w:lineRule="auto"/>
        <w:ind w:left="993" w:hanging="426"/>
        <w:rPr>
          <w:rFonts w:cstheme="minorHAnsi"/>
          <w:sz w:val="21"/>
          <w:szCs w:val="21"/>
        </w:rPr>
      </w:pPr>
      <w:bookmarkStart w:id="13" w:name="_Toc7451331"/>
      <w:r w:rsidRPr="00595617">
        <w:rPr>
          <w:rFonts w:cstheme="minorHAnsi"/>
          <w:b/>
          <w:bCs/>
          <w:sz w:val="21"/>
          <w:szCs w:val="21"/>
        </w:rPr>
        <w:t>C-</w:t>
      </w:r>
      <w:r w:rsidRPr="00A40242">
        <w:rPr>
          <w:rFonts w:cstheme="minorHAnsi"/>
          <w:sz w:val="21"/>
          <w:szCs w:val="21"/>
        </w:rPr>
        <w:t xml:space="preserve"> </w:t>
      </w:r>
      <w:r>
        <w:rPr>
          <w:rFonts w:cstheme="minorHAnsi"/>
          <w:sz w:val="21"/>
          <w:szCs w:val="21"/>
        </w:rPr>
        <w:t xml:space="preserve"> </w:t>
      </w:r>
      <w:r w:rsidRPr="006A680F">
        <w:rPr>
          <w:rFonts w:cstheme="minorHAnsi"/>
          <w:b/>
          <w:bCs/>
          <w:sz w:val="21"/>
          <w:szCs w:val="21"/>
        </w:rPr>
        <w:tab/>
        <w:t>ÖZEL YAŞAMA VE AİLE YAŞAMINA SAYGI HAKKI AÇISINDAN KARARIN DEĞERLENDİRİLMESİ</w:t>
      </w:r>
      <w:bookmarkEnd w:id="13"/>
      <w:r w:rsidRPr="00A40242">
        <w:rPr>
          <w:rFonts w:cstheme="minorHAnsi"/>
          <w:sz w:val="21"/>
          <w:szCs w:val="21"/>
        </w:rPr>
        <w:t xml:space="preserve"> </w:t>
      </w:r>
    </w:p>
    <w:p w14:paraId="71F547C4" w14:textId="77777777" w:rsidR="00936167" w:rsidRPr="00A40242" w:rsidRDefault="00936167" w:rsidP="00936167">
      <w:pPr>
        <w:pStyle w:val="Balk3"/>
        <w:numPr>
          <w:ilvl w:val="0"/>
          <w:numId w:val="42"/>
        </w:numPr>
        <w:spacing w:before="120" w:after="120" w:line="240" w:lineRule="auto"/>
        <w:ind w:left="993" w:hanging="426"/>
        <w:rPr>
          <w:rFonts w:cstheme="minorHAnsi"/>
          <w:color w:val="auto"/>
          <w:sz w:val="21"/>
          <w:szCs w:val="21"/>
        </w:rPr>
      </w:pPr>
      <w:bookmarkStart w:id="14" w:name="_Toc7451332"/>
      <w:r w:rsidRPr="00A40242">
        <w:rPr>
          <w:rFonts w:cstheme="minorHAnsi"/>
          <w:color w:val="auto"/>
          <w:sz w:val="21"/>
          <w:szCs w:val="21"/>
        </w:rPr>
        <w:t>Hakkın Kapsamı ve Özellikler</w:t>
      </w:r>
      <w:bookmarkEnd w:id="14"/>
    </w:p>
    <w:p w14:paraId="69CF2C0D"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Bu hak, AİHS'in 8/1. maddesinde; "</w:t>
      </w:r>
      <w:r w:rsidRPr="00A40242">
        <w:rPr>
          <w:rFonts w:ascii="Palatino Linotype" w:hAnsi="Palatino Linotype" w:cstheme="minorHAnsi"/>
          <w:i/>
          <w:sz w:val="21"/>
          <w:szCs w:val="21"/>
        </w:rPr>
        <w:t xml:space="preserve">Herkes özel ve aile hayatına, konutuna ve haberleşmesine saygı gösterilmesini isteme hakkına sahiptir" </w:t>
      </w:r>
      <w:r w:rsidRPr="00A40242">
        <w:rPr>
          <w:rFonts w:ascii="Palatino Linotype" w:hAnsi="Palatino Linotype" w:cstheme="minorHAnsi"/>
          <w:sz w:val="21"/>
          <w:szCs w:val="21"/>
        </w:rPr>
        <w:t>şeklinde düzenlenmiştir.</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Madde kapsamında dört hak güvence altına alınmıştır. Bunlar; özel yaşama, aile yaşamına, konut ve haberleşmeye saygı hakkıdır. Özel yaşam hakkı, bireyin hayatını her türlü müdahaleden uzakta ve istediği gibi yaşayabilmesini ifade eder. İnsanın sosyal bir varlık olması nedeniyle toplumsal hayata ilişkin hakları da bulunmaktadır. Özel hayatın kapsamı sadece kişinin özel yaşamı ile sınırlı değildir. Toplumsal hayatta ifade, düşünce, din ve vicdan özgürlüğü ile özel yaşam hakkının yakın ilişkisi vardır.</w:t>
      </w:r>
      <w:r w:rsidRPr="00A40242">
        <w:rPr>
          <w:rStyle w:val="DipnotBavurusu1"/>
          <w:rFonts w:ascii="Palatino Linotype" w:hAnsi="Palatino Linotype" w:cstheme="minorHAnsi"/>
          <w:sz w:val="21"/>
          <w:szCs w:val="21"/>
        </w:rPr>
        <w:footnoteReference w:id="99"/>
      </w:r>
    </w:p>
    <w:p w14:paraId="4BD9E6A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İnsan, sosyal bir varlık olması nedeniyle diğer insanlarla ilişki içindedir ve bu ilişki kapsamında diğer insanlar tarafından gözlenir, izlenir, görüş ve düşünce açıklar ve bunun sonucunda da toplumsal yaşama dair bilgi edinir. Bilginin kapsamı kişinin diğer insanlarla olan </w:t>
      </w:r>
      <w:r w:rsidRPr="00A40242">
        <w:rPr>
          <w:rFonts w:ascii="Palatino Linotype" w:hAnsi="Palatino Linotype" w:cstheme="minorHAnsi"/>
          <w:sz w:val="21"/>
          <w:szCs w:val="21"/>
        </w:rPr>
        <w:lastRenderedPageBreak/>
        <w:t>ilişkisinin derecesine bağlıdır. Kişi, hayatındaki olayları kiminle ve ne ölçüde paylaşacağına kendisi karar verir.</w:t>
      </w:r>
      <w:r w:rsidRPr="00A40242">
        <w:rPr>
          <w:rStyle w:val="DipnotBavurusu1"/>
          <w:rFonts w:ascii="Palatino Linotype" w:hAnsi="Palatino Linotype" w:cstheme="minorHAnsi"/>
          <w:sz w:val="21"/>
          <w:szCs w:val="21"/>
        </w:rPr>
        <w:footnoteReference w:id="100"/>
      </w:r>
    </w:p>
    <w:p w14:paraId="01739A00"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Özel yaşama ya da aile yaşamına ilişkin müdahaleler dört başlıkta ele alınabilir;</w:t>
      </w:r>
    </w:p>
    <w:p w14:paraId="4AE79DFC"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a-Kişinin özeline, yani mahremiyetine müdahale ederek kişinin özel hayatıyla ilgili hususları açıklama,</w:t>
      </w:r>
    </w:p>
    <w:p w14:paraId="32A497ED"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c-İzni olmadan kişinin ismini kullanma,</w:t>
      </w:r>
    </w:p>
    <w:p w14:paraId="6F653A0F"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d-Kişinin izni olmadan ses ve görüntüsü gibi kişiliğini oluşturan unsurları ticari amaçla kullanma.</w:t>
      </w:r>
      <w:r w:rsidRPr="00A40242">
        <w:rPr>
          <w:rStyle w:val="DipnotBavurusu1"/>
          <w:rFonts w:ascii="Palatino Linotype" w:hAnsi="Palatino Linotype" w:cstheme="minorHAnsi"/>
          <w:sz w:val="21"/>
          <w:szCs w:val="21"/>
        </w:rPr>
        <w:footnoteReference w:id="101"/>
      </w:r>
    </w:p>
    <w:p w14:paraId="19713EEC"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Bu hakkın tanınmasındaki amaç, kişiyi kamu makam ve yetkililerinin keyfi müdahalelerine karşı korumaktır. Fakat bu hak devleti yalnızca müdahaleden kaçınmaya zorlayan bir hak olmayıp, devlete negatif yükümlülükler yanında "</w:t>
      </w:r>
      <w:r w:rsidRPr="00A40242">
        <w:rPr>
          <w:rFonts w:ascii="Palatino Linotype" w:hAnsi="Palatino Linotype" w:cstheme="minorHAnsi"/>
          <w:i/>
          <w:sz w:val="21"/>
          <w:szCs w:val="21"/>
        </w:rPr>
        <w:t>saygı</w:t>
      </w:r>
      <w:r w:rsidRPr="00A40242">
        <w:rPr>
          <w:rFonts w:ascii="Palatino Linotype" w:hAnsi="Palatino Linotype" w:cstheme="minorHAnsi"/>
          <w:sz w:val="21"/>
          <w:szCs w:val="21"/>
        </w:rPr>
        <w:t>" kavramına ilişkin olarak pozitif yükümlülükler de yükler. Devlete yüklenen bu yükümlülüklerin dokunma, koruma ve soruşturma olduğu söylenebilir.</w:t>
      </w:r>
      <w:r w:rsidRPr="00A40242">
        <w:rPr>
          <w:rStyle w:val="DipnotBavurusu1"/>
          <w:rFonts w:ascii="Palatino Linotype" w:hAnsi="Palatino Linotype" w:cstheme="minorHAnsi"/>
          <w:sz w:val="21"/>
          <w:szCs w:val="21"/>
        </w:rPr>
        <w:footnoteReference w:id="102"/>
      </w:r>
    </w:p>
    <w:p w14:paraId="2887A5BF"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Sözleşme’nin 8. maddesindeki haklarla ilgili madde metninde bir tanıma yer verilmemiştir ve bu nedenle 8. madde AİHS'in en geniş yorumlanan maddelerinden biridir. Madde kapsamına giren hakların neler olduğu genel itibariyle AİHM içtihatlarıyla belirlenmektedir.</w:t>
      </w:r>
      <w:r w:rsidRPr="00A40242">
        <w:rPr>
          <w:rStyle w:val="DipnotBavurusu1"/>
          <w:rFonts w:ascii="Palatino Linotype" w:hAnsi="Palatino Linotype" w:cstheme="minorHAnsi"/>
          <w:sz w:val="21"/>
          <w:szCs w:val="21"/>
        </w:rPr>
        <w:footnoteReference w:id="103"/>
      </w:r>
      <w:r w:rsidRPr="00A40242">
        <w:rPr>
          <w:rFonts w:ascii="Palatino Linotype" w:hAnsi="Palatino Linotype" w:cstheme="minorHAnsi"/>
          <w:sz w:val="21"/>
          <w:szCs w:val="21"/>
        </w:rPr>
        <w:t xml:space="preserve"> Ancak hakkın, "</w:t>
      </w:r>
      <w:r w:rsidRPr="00A40242">
        <w:rPr>
          <w:rFonts w:ascii="Palatino Linotype" w:hAnsi="Palatino Linotype" w:cstheme="minorHAnsi"/>
          <w:i/>
          <w:sz w:val="21"/>
          <w:szCs w:val="21"/>
        </w:rPr>
        <w:t>Kişinin özel hayatının meşru olmayan müdahalelerden uzak tutulması konusunda hukuk düzeni tarafından korunmaya değer görülen bir yararın varlığı"</w:t>
      </w:r>
      <w:r w:rsidRPr="00A40242">
        <w:rPr>
          <w:rFonts w:ascii="Palatino Linotype" w:hAnsi="Palatino Linotype" w:cstheme="minorHAnsi"/>
          <w:sz w:val="21"/>
          <w:szCs w:val="21"/>
        </w:rPr>
        <w:t xml:space="preserve"> şeklinde bir tarifi yapılabilir.</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Bu hakkın gizlilik ve bağımsızlık şeklinde iki yönü vardır. Hak sayesinde bireyler özel yaşamlarına ilişkin olayları istedikleri gibi şekillendirip, istemedikleri kişilerin bu özel alana müdahalesini engelleyebilirler.</w:t>
      </w:r>
      <w:r w:rsidRPr="00A40242">
        <w:rPr>
          <w:rStyle w:val="DipnotBavurusu1"/>
          <w:rFonts w:ascii="Palatino Linotype" w:hAnsi="Palatino Linotype" w:cstheme="minorHAnsi"/>
          <w:sz w:val="21"/>
          <w:szCs w:val="21"/>
        </w:rPr>
        <w:footnoteReference w:id="104"/>
      </w:r>
    </w:p>
    <w:p w14:paraId="76EE6B3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AİHS'in 8. maddesinden farklı olarak, Anayasa'da bu hakkın kapsamına giren hususlar tek maddede değil, birden fazla madde de düzenlenmiştir. Bunlar; kişinin dokunulmazlığı, maddi-manevi varlığı (md.17), özel hayatın gizliliği (md.20), konut dokunulmazlığı (md.21), haberleşme hürriyeti (md.22), yerleşme ve seyahat hürriyeti (md.23), ailenin korunması ve çocuk hakları (md.41), sağlık ve çevrenin korunması (md.56) ve bilgi edinme hakkıdır (md.74).</w:t>
      </w:r>
      <w:r w:rsidRPr="00A40242">
        <w:rPr>
          <w:rStyle w:val="DipnotBavurusu1"/>
          <w:rFonts w:ascii="Palatino Linotype" w:hAnsi="Palatino Linotype" w:cstheme="minorHAnsi"/>
          <w:sz w:val="21"/>
          <w:szCs w:val="21"/>
        </w:rPr>
        <w:footnoteReference w:id="105"/>
      </w:r>
      <w:r w:rsidRPr="00A40242">
        <w:rPr>
          <w:rFonts w:ascii="Palatino Linotype" w:hAnsi="Palatino Linotype" w:cstheme="minorHAnsi"/>
          <w:sz w:val="21"/>
          <w:szCs w:val="21"/>
        </w:rPr>
        <w:t xml:space="preserve"> AYM bu hakkı kişilik hakkının devamı olarak kabul etmekte olup, konuyla ilgili bir kararında şöyle demiştir; "</w:t>
      </w:r>
      <w:r w:rsidRPr="00A40242">
        <w:rPr>
          <w:rFonts w:ascii="Palatino Linotype" w:hAnsi="Palatino Linotype" w:cstheme="minorHAnsi"/>
          <w:i/>
          <w:sz w:val="21"/>
          <w:szCs w:val="21"/>
        </w:rPr>
        <w:t>Özel hayatın korunması her şeyden önce bu hayatın gizliliğinin korunması, başkalarının gözlerinin önüne serilmesi değildir. Orada cereyan edenlerin yalnız kendisi veya kendisinin bilmesini istediği kişiler tarafından bilinmesini isteme hakkı kişinin temel haklarından birisidir. Bu niteliği sebebiyledir ki, özel hayatın gizliliğine dokunulmaması, insan haklarına ilişkin beyanname ve sözleşmelerde korunması istenilmiş, ayrıca tüm demokratik ülke mevzuatında açıkça belirlenen istisnalar dışında bu hak devlet organlarına, topluma ve diğer kişilere karşı korunmuştur."</w:t>
      </w:r>
      <w:r w:rsidRPr="00A40242">
        <w:rPr>
          <w:rStyle w:val="DipnotBavurusu1"/>
          <w:rFonts w:ascii="Palatino Linotype" w:hAnsi="Palatino Linotype" w:cstheme="minorHAnsi"/>
          <w:sz w:val="21"/>
          <w:szCs w:val="21"/>
        </w:rPr>
        <w:footnoteReference w:id="106"/>
      </w:r>
    </w:p>
    <w:p w14:paraId="3393631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Sözleşme'nin 8. maddesi kişinin maddi-manevi bütünlüğünü, kişisel gelişimini ve diğer insanlarla ilişki kurma ve bu ilişkileri geliştirme hakkını teminat altına alır. Kişilerin şeref, onur ve itibarları da manevi bütünlük içinde yer aldığından, bu hakların korunması da 8. madde kapsamındadır. Devletin, onur ve itibarlarını zedeleyecek yayınlara karşı bireyleri koruma yükümlülüğü vardır.</w:t>
      </w:r>
      <w:r w:rsidRPr="00A40242">
        <w:rPr>
          <w:rStyle w:val="DipnotBavurusu1"/>
          <w:rFonts w:ascii="Palatino Linotype" w:hAnsi="Palatino Linotype" w:cstheme="minorHAnsi"/>
          <w:sz w:val="21"/>
          <w:szCs w:val="21"/>
        </w:rPr>
        <w:footnoteReference w:id="107"/>
      </w:r>
      <w:r w:rsidRPr="00A40242">
        <w:rPr>
          <w:rFonts w:ascii="Palatino Linotype" w:hAnsi="Palatino Linotype" w:cstheme="minorHAnsi"/>
          <w:sz w:val="21"/>
          <w:szCs w:val="21"/>
        </w:rPr>
        <w:t xml:space="preserve"> Bu yükümlülük sadece yapılan yayınlarla sınırlı olmayıp, kişinin özel yaşam veya mesleki sebeplerle işten çıkarılması örneğinde olduğu gibi kişiyle ilgili başka tür işlemlerde de söz konusu olabilir.</w:t>
      </w:r>
      <w:r w:rsidRPr="00A40242">
        <w:rPr>
          <w:rStyle w:val="DipnotBavurusu1"/>
          <w:rFonts w:ascii="Palatino Linotype" w:hAnsi="Palatino Linotype" w:cstheme="minorHAnsi"/>
          <w:sz w:val="21"/>
          <w:szCs w:val="21"/>
        </w:rPr>
        <w:footnoteReference w:id="108"/>
      </w:r>
    </w:p>
    <w:p w14:paraId="384C271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Özel yaşamın kapsamına mesleki faaliyetler de girmektedir. Mesleki yaşam ile ilgili sınırlamalar kişinin başkalarıyla ilişkiler geliştirmesi yoluyla sosyal kimliğini oluşturması sırasında ortaya çıkarsa 8. maddenin ihlali gündeme gelir. Zira kişilerin neredeyse tamamı dış dünya ile ilişkiye iş yaşamında geçer ve bu nedenle iş hayatını </w:t>
      </w:r>
      <w:r w:rsidRPr="00A40242">
        <w:rPr>
          <w:rFonts w:ascii="Palatino Linotype" w:hAnsi="Palatino Linotype" w:cstheme="minorHAnsi"/>
          <w:i/>
          <w:sz w:val="21"/>
          <w:szCs w:val="21"/>
        </w:rPr>
        <w:t>"özel hayatın"</w:t>
      </w:r>
      <w:r w:rsidRPr="00A40242">
        <w:rPr>
          <w:rFonts w:ascii="Palatino Linotype" w:hAnsi="Palatino Linotype" w:cstheme="minorHAnsi"/>
          <w:sz w:val="21"/>
          <w:szCs w:val="21"/>
        </w:rPr>
        <w:t xml:space="preserve"> dışında tutmayı gerektirecek makul bir sebep yoktur.</w:t>
      </w:r>
      <w:r w:rsidRPr="00A40242">
        <w:rPr>
          <w:rStyle w:val="DipnotBavurusu1"/>
          <w:rFonts w:ascii="Palatino Linotype" w:hAnsi="Palatino Linotype" w:cstheme="minorHAnsi"/>
          <w:sz w:val="21"/>
          <w:szCs w:val="21"/>
        </w:rPr>
        <w:footnoteReference w:id="109"/>
      </w:r>
      <w:r w:rsidRPr="00A40242">
        <w:rPr>
          <w:rFonts w:ascii="Palatino Linotype" w:hAnsi="Palatino Linotype" w:cstheme="minorHAnsi"/>
          <w:sz w:val="21"/>
          <w:szCs w:val="21"/>
        </w:rPr>
        <w:t xml:space="preserve"> AİHM konuyla ilgili bir kararında, hâkim olan başvurucunun meslekten çıkarılmasının mesleki ilişkileri yanında diğer insanlarla olan ilişkisini etkilediğini, kendisi ile ailesinin maddi refahı üzerinde ve yakın çevresi üzerinde olumsuz sonuçlar doğurduğunu ve bu suretle ihracın 8. madde anlamında özel yaşama saygı hakkına bir müdahale oluşturduğunu belirtmiştir.</w:t>
      </w:r>
      <w:r w:rsidRPr="00A40242">
        <w:rPr>
          <w:rStyle w:val="DipnotBavurusu1"/>
          <w:rFonts w:ascii="Palatino Linotype" w:hAnsi="Palatino Linotype" w:cstheme="minorHAnsi"/>
          <w:sz w:val="21"/>
          <w:szCs w:val="21"/>
        </w:rPr>
        <w:footnoteReference w:id="110"/>
      </w:r>
      <w:r w:rsidRPr="00A40242">
        <w:rPr>
          <w:rFonts w:ascii="Palatino Linotype" w:hAnsi="Palatino Linotype" w:cstheme="minorHAnsi"/>
          <w:sz w:val="21"/>
          <w:szCs w:val="21"/>
        </w:rPr>
        <w:t xml:space="preserve"> Başka bir kararında da, eski KGB ajanı oldukları gerekçesiyle mesleklerinden çıkarılan ve on yıl süreyle kamu ve özel sektörün birçok alanında çalışma yasağı getirilen kişilerin bu yaptırım sonucu dış dünya ile ilişki kurup geliştirme imkânlarının ciddi şekilde kısıtlandığını, geçimlerini temin noktasında ağır sonuçların doğduğunu ve bu durumun ilgiler açısından sürekli bir damgalanma niteliği taşıdığını belirterek 8. maddenin ihlaline karar vermiştir.</w:t>
      </w:r>
      <w:r w:rsidRPr="00A40242">
        <w:rPr>
          <w:rStyle w:val="DipnotBavurusu"/>
          <w:rFonts w:ascii="Palatino Linotype" w:hAnsi="Palatino Linotype" w:cstheme="minorHAnsi"/>
          <w:sz w:val="21"/>
          <w:szCs w:val="21"/>
        </w:rPr>
        <w:footnoteReference w:id="111"/>
      </w:r>
      <w:r w:rsidRPr="00A40242">
        <w:rPr>
          <w:rFonts w:ascii="Palatino Linotype" w:hAnsi="Palatino Linotype" w:cstheme="minorHAnsi"/>
          <w:sz w:val="21"/>
          <w:szCs w:val="21"/>
        </w:rPr>
        <w:t xml:space="preserve"> Kısaca, Mahkeme kamu görevlilerini Sözleşme dışında tutmamakta ve ilgilinin işten çıkarılması nedeniyle AİHS kapsamındaki haklarının ihlali durumunda şikâyette bulunabileceğini belirtmektedir.</w:t>
      </w:r>
      <w:r w:rsidRPr="00A40242">
        <w:rPr>
          <w:rStyle w:val="DipnotBavurusu"/>
          <w:rFonts w:ascii="Palatino Linotype" w:hAnsi="Palatino Linotype" w:cstheme="minorHAnsi"/>
          <w:sz w:val="21"/>
          <w:szCs w:val="21"/>
        </w:rPr>
        <w:footnoteReference w:id="112"/>
      </w:r>
      <w:r w:rsidRPr="00A40242">
        <w:rPr>
          <w:rFonts w:ascii="Palatino Linotype" w:hAnsi="Palatino Linotype" w:cstheme="minorHAnsi"/>
          <w:sz w:val="21"/>
          <w:szCs w:val="21"/>
        </w:rPr>
        <w:t xml:space="preserve"> </w:t>
      </w:r>
    </w:p>
    <w:p w14:paraId="5C83913D" w14:textId="77777777" w:rsidR="00936167" w:rsidRPr="00A40242" w:rsidRDefault="00936167" w:rsidP="00936167">
      <w:pPr>
        <w:pStyle w:val="Balk3"/>
        <w:numPr>
          <w:ilvl w:val="0"/>
          <w:numId w:val="42"/>
        </w:numPr>
        <w:spacing w:before="120" w:after="120" w:line="240" w:lineRule="auto"/>
        <w:ind w:left="993" w:hanging="426"/>
        <w:rPr>
          <w:rFonts w:cstheme="minorHAnsi"/>
          <w:color w:val="auto"/>
          <w:sz w:val="21"/>
          <w:szCs w:val="21"/>
        </w:rPr>
      </w:pPr>
      <w:bookmarkStart w:id="15" w:name="_Toc7451333"/>
      <w:r w:rsidRPr="00A40242">
        <w:rPr>
          <w:rFonts w:cstheme="minorHAnsi"/>
          <w:color w:val="auto"/>
          <w:sz w:val="21"/>
          <w:szCs w:val="21"/>
        </w:rPr>
        <w:lastRenderedPageBreak/>
        <w:t>Hakkın Kısıtlama Sebepleri</w:t>
      </w:r>
      <w:bookmarkEnd w:id="15"/>
    </w:p>
    <w:p w14:paraId="3E67B7BD"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Hakka ilişkin kısıtlama sebeplerine Sözleşme'nin 8/2. maddesinde yer verilmiş olup, şöyle denilmiştir; </w:t>
      </w:r>
      <w:r w:rsidRPr="00A40242">
        <w:rPr>
          <w:rFonts w:ascii="Palatino Linotype" w:hAnsi="Palatino Linotype" w:cstheme="minorHAnsi"/>
          <w:i/>
          <w:sz w:val="21"/>
          <w:szCs w:val="21"/>
        </w:rPr>
        <w:t>"Bu hakkın kullanılmasına bir kamu makamının müdahalesi, ancak müdahalenin yasayla öngörülmüş ve demokratik bir toplumda ulusal güvenlik, kamu güvenliği, ülkenin ekonomik refahı, düzenin korunması, suç işlenmesinin önlenmesi, sağlığın veya ahlakın veya başkalarının hak ve özgürlüklerinin korunması için gerekli bir tedbir olması durumunda söz konusu olabilir."</w:t>
      </w:r>
      <w:r w:rsidRPr="00A40242">
        <w:rPr>
          <w:rFonts w:ascii="Palatino Linotype" w:hAnsi="Palatino Linotype" w:cstheme="minorHAnsi"/>
          <w:sz w:val="21"/>
          <w:szCs w:val="21"/>
        </w:rPr>
        <w:t xml:space="preserve"> Madde metninden de anlaşılacağı üzere, hakka yapılacak müdahaleyi haklı kılacak sebepler; müdahalenin hukuken öngörülmüş olması, meşru amaçlardan birine dayanması ve demokratik toplumda gerekli olmasıdır.</w:t>
      </w:r>
    </w:p>
    <w:p w14:paraId="2C009AB0" w14:textId="77777777" w:rsidR="00936167" w:rsidRPr="00595617" w:rsidRDefault="00936167" w:rsidP="00936167">
      <w:pPr>
        <w:pStyle w:val="Balk4"/>
        <w:numPr>
          <w:ilvl w:val="1"/>
          <w:numId w:val="42"/>
        </w:numPr>
        <w:spacing w:before="120" w:after="120" w:line="240" w:lineRule="auto"/>
        <w:ind w:left="993" w:hanging="426"/>
        <w:rPr>
          <w:rFonts w:ascii="Palatino Linotype" w:hAnsi="Palatino Linotype" w:cstheme="minorHAnsi"/>
          <w:b/>
          <w:bCs/>
          <w:i w:val="0"/>
          <w:color w:val="auto"/>
          <w:sz w:val="21"/>
          <w:szCs w:val="21"/>
        </w:rPr>
      </w:pPr>
      <w:r w:rsidRPr="00595617">
        <w:rPr>
          <w:rFonts w:ascii="Palatino Linotype" w:hAnsi="Palatino Linotype" w:cstheme="minorHAnsi"/>
          <w:b/>
          <w:bCs/>
          <w:i w:val="0"/>
          <w:color w:val="auto"/>
          <w:sz w:val="21"/>
          <w:szCs w:val="21"/>
        </w:rPr>
        <w:t xml:space="preserve">Hukuken Öngörülmüş Olma (Hukukilik) </w:t>
      </w:r>
    </w:p>
    <w:p w14:paraId="2E3B214A" w14:textId="77777777" w:rsidR="00936167" w:rsidRPr="00A40242" w:rsidRDefault="00936167" w:rsidP="00936167">
      <w:pPr>
        <w:spacing w:before="120" w:after="120" w:line="240" w:lineRule="auto"/>
        <w:ind w:firstLine="567"/>
        <w:jc w:val="both"/>
        <w:rPr>
          <w:rStyle w:val="HafifVurgulama"/>
          <w:rFonts w:ascii="Palatino Linotype" w:hAnsi="Palatino Linotype" w:cstheme="minorHAnsi"/>
          <w:i w:val="0"/>
          <w:sz w:val="21"/>
          <w:szCs w:val="21"/>
        </w:rPr>
      </w:pPr>
      <w:r w:rsidRPr="006A680F">
        <w:rPr>
          <w:rStyle w:val="HafifVurgulama"/>
          <w:rFonts w:ascii="Palatino Linotype" w:hAnsi="Palatino Linotype" w:cstheme="minorHAnsi"/>
          <w:i w:val="0"/>
          <w:iCs w:val="0"/>
          <w:color w:val="auto"/>
          <w:sz w:val="21"/>
          <w:szCs w:val="21"/>
        </w:rPr>
        <w:t>Bu şart, Sözleşme'nin 8., 9., 10. ve 11. maddelerinin ortak öğesi olup, hakkın kullanılmasına ilişkin müdahalenin iç hukukta bir dayanağının bulunmasını gerektirir. Davalı ülke, hakka yaptığı müdahale için kendisine yetki veren bir hukuk kuralının varlığını göstermelidir.</w:t>
      </w:r>
      <w:r w:rsidRPr="006A680F">
        <w:rPr>
          <w:rStyle w:val="DipnotBavurusu"/>
          <w:rFonts w:ascii="Palatino Linotype" w:hAnsi="Palatino Linotype" w:cstheme="minorHAnsi"/>
          <w:i/>
          <w:iCs/>
          <w:sz w:val="21"/>
          <w:szCs w:val="21"/>
        </w:rPr>
        <w:footnoteReference w:id="113"/>
      </w:r>
      <w:r w:rsidRPr="006A680F">
        <w:rPr>
          <w:rStyle w:val="HafifVurgulama"/>
          <w:rFonts w:ascii="Palatino Linotype" w:hAnsi="Palatino Linotype" w:cstheme="minorHAnsi"/>
          <w:i w:val="0"/>
          <w:iCs w:val="0"/>
          <w:color w:val="auto"/>
          <w:sz w:val="21"/>
          <w:szCs w:val="21"/>
        </w:rPr>
        <w:t xml:space="preserve"> Bu kuralın kaynağı yazılı hukuk, yani Anayasa, yasa, KHK, tüzük ve yönetmelik olabileceği gibi, içtihat hukuku da olabilir. Başka bir ifadeyle, AİHM hukuk kavramını biçimsel değil, maddi anlamıyla yorumlamaktır</w:t>
      </w:r>
      <w:r w:rsidRPr="00A40242">
        <w:rPr>
          <w:rStyle w:val="HafifVurgulama"/>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114"/>
      </w:r>
    </w:p>
    <w:p w14:paraId="2D78D512" w14:textId="77777777" w:rsidR="00936167" w:rsidRPr="00A40242" w:rsidRDefault="00936167" w:rsidP="00936167">
      <w:pPr>
        <w:spacing w:before="120" w:after="120" w:line="240" w:lineRule="auto"/>
        <w:ind w:firstLine="567"/>
        <w:jc w:val="both"/>
        <w:rPr>
          <w:rStyle w:val="HafifVurgulama"/>
          <w:rFonts w:ascii="Palatino Linotype" w:hAnsi="Palatino Linotype" w:cstheme="minorHAnsi"/>
          <w:b/>
          <w:i w:val="0"/>
          <w:sz w:val="21"/>
          <w:szCs w:val="21"/>
        </w:rPr>
      </w:pPr>
      <w:r w:rsidRPr="006A680F">
        <w:rPr>
          <w:rStyle w:val="HafifVurgulama"/>
          <w:rFonts w:ascii="Palatino Linotype" w:hAnsi="Palatino Linotype" w:cstheme="minorHAnsi"/>
          <w:i w:val="0"/>
          <w:iCs w:val="0"/>
          <w:color w:val="auto"/>
          <w:sz w:val="21"/>
          <w:szCs w:val="21"/>
        </w:rPr>
        <w:t>AİHM verdiği bir kararında, bir hâkim hakkındaki soruşturma ve meslekten çıkarma ile sonuçlanan müdahalenin 2802 sayılı Kanun'un 69. maddesine dayanması nedeniyle hukuki bir temelinin bulunduğunu belirtmiştir.</w:t>
      </w:r>
      <w:r w:rsidRPr="006A680F">
        <w:rPr>
          <w:rStyle w:val="DipnotBavurusu"/>
          <w:rFonts w:ascii="Palatino Linotype" w:hAnsi="Palatino Linotype" w:cstheme="minorHAnsi"/>
          <w:i/>
          <w:iCs/>
          <w:sz w:val="21"/>
          <w:szCs w:val="21"/>
        </w:rPr>
        <w:footnoteReference w:id="115"/>
      </w:r>
      <w:r w:rsidRPr="006A680F">
        <w:rPr>
          <w:rStyle w:val="HafifVurgulama"/>
          <w:rFonts w:ascii="Palatino Linotype" w:hAnsi="Palatino Linotype" w:cstheme="minorHAnsi"/>
          <w:i w:val="0"/>
          <w:iCs w:val="0"/>
          <w:color w:val="auto"/>
          <w:sz w:val="21"/>
          <w:szCs w:val="21"/>
        </w:rPr>
        <w:t xml:space="preserve"> Başka bir kararında da, terör saldırısından şüpheli başvurucunun aracına yerleştirilen GPS cihazıyla izlenmesinin özel yaşama müdahale oluşturduğunu tespit etmiş ve Alman Ceza Yargılaması Kanunu'nun 100 C/1 no. 1 (b) maddesine dayanan bu müdahalenin öngörülebilir olup olmadığını incelemiştir. Başvurucu, bu maddede de yer alan "izleme amaçlı diğer teknik araçlar" ifadesinin yeterince açık olmadığını ve GPS cihazıyla gizli izlemeyi kapsamadığını ileri sürmüştür. Ulusal mahkemeler ise bu maddenin bu tür izlemeleri de kapsadığına ilişkin kararlar vermiştir. AİHM'de, Ceza Muhakemesi Kanunu'nun bu maddesinin gizli izlemeyi de kapsadığını, zira bu hususun ulusal mahkemelerce tespit edilip içtihat haline getirildiğini ve bu durumun önceden öngörülebilecek bir gelişme olduğunu, yani maddedeki belirsiz durumun yargısal yorum (içtihat) yoluyla açıklığa kavuşturulduğunu belirterek hukukilik şartının olayda gerçekleştiğine karar vermiştir.</w:t>
      </w:r>
      <w:r w:rsidRPr="00A40242">
        <w:rPr>
          <w:rStyle w:val="DipnotBavurusu"/>
          <w:rFonts w:ascii="Palatino Linotype" w:hAnsi="Palatino Linotype" w:cstheme="minorHAnsi"/>
          <w:sz w:val="21"/>
          <w:szCs w:val="21"/>
        </w:rPr>
        <w:footnoteReference w:id="116"/>
      </w:r>
    </w:p>
    <w:p w14:paraId="0F92EE6E"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b/>
          <w:i w:val="0"/>
          <w:iCs w:val="0"/>
          <w:color w:val="auto"/>
          <w:sz w:val="21"/>
          <w:szCs w:val="21"/>
        </w:rPr>
      </w:pPr>
      <w:r w:rsidRPr="006A680F">
        <w:rPr>
          <w:rStyle w:val="HafifVurgulama"/>
          <w:rFonts w:ascii="Palatino Linotype" w:hAnsi="Palatino Linotype" w:cstheme="minorHAnsi"/>
          <w:i w:val="0"/>
          <w:iCs w:val="0"/>
          <w:color w:val="auto"/>
          <w:sz w:val="21"/>
          <w:szCs w:val="21"/>
        </w:rPr>
        <w:t>Hukukilik denetimi, müdahalenin dayanağı olan düzenlemenin, "nitelikli", yani, "erişilebilir", doğuracağı sonuçların "önceden öngörülebilir" şekilde açık ve kesin olmasını ve kötüye kullanmaya karşı "teminatlar" içermesini gerektirir.</w:t>
      </w:r>
      <w:r w:rsidRPr="006A680F">
        <w:rPr>
          <w:rStyle w:val="DipnotBavurusu"/>
          <w:rFonts w:ascii="Palatino Linotype" w:hAnsi="Palatino Linotype" w:cstheme="minorHAnsi"/>
          <w:sz w:val="21"/>
          <w:szCs w:val="21"/>
        </w:rPr>
        <w:footnoteReference w:id="117"/>
      </w:r>
    </w:p>
    <w:p w14:paraId="12D1B21A"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Erişilebilirlik kriteri gereğince, müdahalenin dayanağını oluşturan hukuki düzenleme yayımlanarak erişilebilir hale getirilmeli ve ilgililer belli bir olaya uygulanacak hukuk kuralı hakkında gerekli ve yeterli bilgiye sahip olmalıdır.</w:t>
      </w:r>
      <w:r w:rsidRPr="006A680F">
        <w:rPr>
          <w:rStyle w:val="DipnotBavurusu"/>
          <w:rFonts w:ascii="Palatino Linotype" w:hAnsi="Palatino Linotype" w:cstheme="minorHAnsi"/>
          <w:sz w:val="21"/>
          <w:szCs w:val="21"/>
        </w:rPr>
        <w:footnoteReference w:id="118"/>
      </w:r>
      <w:r w:rsidRPr="006A680F">
        <w:rPr>
          <w:rStyle w:val="HafifVurgulama"/>
          <w:rFonts w:ascii="Palatino Linotype" w:hAnsi="Palatino Linotype" w:cstheme="minorHAnsi"/>
          <w:i w:val="0"/>
          <w:iCs w:val="0"/>
          <w:color w:val="auto"/>
          <w:sz w:val="21"/>
          <w:szCs w:val="21"/>
        </w:rPr>
        <w:t xml:space="preserve"> Öngörülebilirlik kriteri gereğince de iç </w:t>
      </w:r>
      <w:r w:rsidRPr="006A680F">
        <w:rPr>
          <w:rStyle w:val="HafifVurgulama"/>
          <w:rFonts w:ascii="Palatino Linotype" w:hAnsi="Palatino Linotype" w:cstheme="minorHAnsi"/>
          <w:i w:val="0"/>
          <w:iCs w:val="0"/>
          <w:color w:val="auto"/>
          <w:sz w:val="21"/>
          <w:szCs w:val="21"/>
        </w:rPr>
        <w:lastRenderedPageBreak/>
        <w:t>hukuk, müdahaleye esas teşkil eden tedbire hangi durumlarda ve hangi nedenlerle başvurulabileceğine ilişkin yeterli açıklıkta olmalıdır. Hukukta aranan açıklık; müdahale edilen hakkın ve yapılan müdahalenin niteliğine, hukuki düzenlemenin içeriğine, düzenlediği alana, ilgilendirdiği kişilerin statüsü ve sayısına göre değişebilir.</w:t>
      </w:r>
      <w:r w:rsidRPr="006A680F">
        <w:rPr>
          <w:rStyle w:val="DipnotBavurusu"/>
          <w:rFonts w:ascii="Palatino Linotype" w:hAnsi="Palatino Linotype" w:cstheme="minorHAnsi"/>
          <w:i/>
          <w:iCs/>
          <w:sz w:val="21"/>
          <w:szCs w:val="21"/>
        </w:rPr>
        <w:footnoteReference w:id="119"/>
      </w:r>
      <w:r w:rsidRPr="006A680F">
        <w:rPr>
          <w:rStyle w:val="HafifVurgulama"/>
          <w:rFonts w:ascii="Palatino Linotype" w:hAnsi="Palatino Linotype" w:cstheme="minorHAnsi"/>
          <w:i w:val="0"/>
          <w:iCs w:val="0"/>
          <w:color w:val="auto"/>
          <w:sz w:val="21"/>
          <w:szCs w:val="21"/>
        </w:rPr>
        <w:t xml:space="preserve"> Hukuki öngörülebilirlik, eylemin sonuçlarıyla ilgili bilgi edinmek için bir danışman yardımından faydalanmaya engel değildir. Bu kural, mesleki hayatlarında daha dikkatli olması gereken kişiler için de geçerlidir ve bu kişilerden, karşılaşmaları muhtemel riskleri değerlendirme konusunda daha özenli davranmaları beklenebilir.</w:t>
      </w:r>
      <w:r w:rsidRPr="006A680F">
        <w:rPr>
          <w:rStyle w:val="DipnotBavurusu"/>
          <w:rFonts w:ascii="Palatino Linotype" w:hAnsi="Palatino Linotype" w:cstheme="minorHAnsi"/>
          <w:sz w:val="21"/>
          <w:szCs w:val="21"/>
        </w:rPr>
        <w:footnoteReference w:id="120"/>
      </w:r>
    </w:p>
    <w:p w14:paraId="11AA5582" w14:textId="77777777" w:rsidR="00936167" w:rsidRPr="006A680F" w:rsidRDefault="00936167" w:rsidP="00936167">
      <w:pPr>
        <w:spacing w:before="120" w:after="120" w:line="240" w:lineRule="auto"/>
        <w:ind w:firstLine="567"/>
        <w:jc w:val="both"/>
        <w:rPr>
          <w:rFonts w:ascii="Palatino Linotype" w:hAnsi="Palatino Linotype" w:cstheme="minorHAnsi"/>
          <w:i/>
          <w:iCs/>
          <w:sz w:val="21"/>
          <w:szCs w:val="21"/>
          <w:shd w:val="clear" w:color="auto" w:fill="FFFFFF"/>
        </w:rPr>
      </w:pPr>
      <w:r w:rsidRPr="006A680F">
        <w:rPr>
          <w:rStyle w:val="HafifVurgulama"/>
          <w:rFonts w:ascii="Palatino Linotype" w:hAnsi="Palatino Linotype" w:cstheme="minorHAnsi"/>
          <w:i w:val="0"/>
          <w:iCs w:val="0"/>
          <w:color w:val="auto"/>
          <w:sz w:val="21"/>
          <w:szCs w:val="21"/>
        </w:rPr>
        <w:t>AYM konuyla ilgili verdiği bir kararında belirlilik ve öngörülebilirlik ilkesiyle ilgili şunları söylemiştir; "h</w:t>
      </w:r>
      <w:r w:rsidRPr="006A680F">
        <w:rPr>
          <w:rFonts w:ascii="Palatino Linotype" w:hAnsi="Palatino Linotype" w:cstheme="minorHAnsi"/>
          <w:i/>
          <w:iCs/>
          <w:sz w:val="21"/>
          <w:szCs w:val="21"/>
          <w:shd w:val="clear" w:color="auto" w:fill="FFFFFF"/>
        </w:rPr>
        <w:t>ukuki güvenlik ile belirlilik ilkeleri, hukuk devletinin önkoşullarındandır. Kişilerin hukuki güvenliğini sağlamayı amaçlayan hukuki güvenlik ilkesi, hukuk normlarının öngörülebilir olmasını, bireylerin tüm eylem ve işlemlerinde devlete güven duyabilmesini, devletin de yasal düzenlemelerinde bu güven duygusunu zedeleyici yöntemlerden kaçınmasını gerekli kılar. Belirlilik ilkesi ise yasal düzenlemelerin hem kişiler hem de idare yönünden herhangi bir duraksamaya ve kuşkuya yer vermeyecek şekilde açık, net, anlaşılır ve uygulanabilir olmasını, ayrıca kamu otoritelerinin keyfi uygulamalarına karşı koruyucu önlem içermesini ifade etmektedir. Bu bakımdan, kanunun metni, bireylerin, gerektiğinde hukuki yardım almak suretiyle, hangi somut eylem ve olguya hangi hukuksal yaptırımın veya sonucun bağlandığını belli bir açıklık ve kesinlikte öngörebilmelerine imkân verecek düzeyde olmalıdır. Dolayısıyla, uygulanması öncesinde kanunun, muhtemel etki ve sonuçlarının yeterli derecede öngörülebilir olması gereklidir."</w:t>
      </w:r>
      <w:r w:rsidRPr="006A680F">
        <w:rPr>
          <w:rStyle w:val="DipnotBavurusu"/>
          <w:rFonts w:ascii="Palatino Linotype" w:hAnsi="Palatino Linotype" w:cstheme="minorHAnsi"/>
          <w:sz w:val="21"/>
          <w:szCs w:val="21"/>
          <w:shd w:val="clear" w:color="auto" w:fill="FFFFFF"/>
        </w:rPr>
        <w:footnoteReference w:id="121"/>
      </w:r>
    </w:p>
    <w:p w14:paraId="4E9F0955" w14:textId="77777777" w:rsidR="00936167" w:rsidRPr="00A40242" w:rsidRDefault="00936167" w:rsidP="00936167">
      <w:pPr>
        <w:spacing w:before="120" w:after="120" w:line="240" w:lineRule="auto"/>
        <w:ind w:firstLine="567"/>
        <w:jc w:val="both"/>
        <w:rPr>
          <w:rFonts w:ascii="Palatino Linotype" w:hAnsi="Palatino Linotype" w:cstheme="minorHAnsi"/>
          <w:color w:val="000000"/>
          <w:sz w:val="21"/>
          <w:szCs w:val="21"/>
          <w:shd w:val="clear" w:color="auto" w:fill="FFFFFF"/>
        </w:rPr>
      </w:pPr>
      <w:r w:rsidRPr="00A40242">
        <w:rPr>
          <w:rFonts w:ascii="Palatino Linotype" w:hAnsi="Palatino Linotype" w:cstheme="minorHAnsi"/>
          <w:color w:val="000000"/>
          <w:sz w:val="21"/>
          <w:szCs w:val="21"/>
          <w:shd w:val="clear" w:color="auto" w:fill="FFFFFF"/>
        </w:rPr>
        <w:t>AİHM'in Macaristan ile ilgili verdiği bir kararına konu olan olayda da; başvurucu, evde doğum yapmak isteyen bir kadındır. Ülkedeki Sağlığın Korunması Kanunu'nda, hastaların tedavi konusunda irade özgürlüğüne sahip oldukları belirtilmesine rağmen, çıkarılan bir kararnameyle doktorların evde yapılan doğuma yardım etmeleri halinde hapis ve para cezasına çarptırılacakları belirtilmiş ve bir doktor da bu nedenle cezalandırılmıştır. Başvurucu, doktorlar için getirilen yasak nedeniyle evde doğum yapma hakkını kullanamadığından şikâyet etmiştir. AİHM, hem hastalara tedavi konusunda özerklik tanınıp, hem de doktorlara bu konuda yasak getirilmesinin çelişkiye neden olduğunu, bu konuda Macaristan hukukunda başka bir düzenleme bulunmadığını ve doktorların evde doğuma yardım edememelerinin keyfiliğe dönük bir hukuki belirsizlik oluşturduğunu belirtmiş ve bu durumun, anne adaylarının evde doğum yapma seçeneklerini sınırlandırması nedeniyle öngörülebilir olmadığına karar vermiştir.</w:t>
      </w:r>
      <w:r w:rsidRPr="00A40242">
        <w:rPr>
          <w:rStyle w:val="DipnotBavurusu"/>
          <w:rFonts w:ascii="Palatino Linotype" w:hAnsi="Palatino Linotype" w:cstheme="minorHAnsi"/>
          <w:color w:val="000000"/>
          <w:sz w:val="21"/>
          <w:szCs w:val="21"/>
          <w:shd w:val="clear" w:color="auto" w:fill="FFFFFF"/>
        </w:rPr>
        <w:footnoteReference w:id="122"/>
      </w:r>
    </w:p>
    <w:p w14:paraId="4635E90E" w14:textId="77777777" w:rsidR="00936167" w:rsidRPr="00A40242" w:rsidRDefault="00936167" w:rsidP="00936167">
      <w:pPr>
        <w:spacing w:before="120" w:after="120" w:line="240" w:lineRule="auto"/>
        <w:ind w:firstLine="567"/>
        <w:jc w:val="both"/>
        <w:rPr>
          <w:rFonts w:ascii="Palatino Linotype" w:hAnsi="Palatino Linotype" w:cstheme="minorHAnsi"/>
          <w:color w:val="000000"/>
          <w:sz w:val="21"/>
          <w:szCs w:val="21"/>
          <w:shd w:val="clear" w:color="auto" w:fill="FFFFFF"/>
        </w:rPr>
      </w:pPr>
      <w:r w:rsidRPr="00A40242">
        <w:rPr>
          <w:rFonts w:ascii="Palatino Linotype" w:hAnsi="Palatino Linotype" w:cstheme="minorHAnsi"/>
          <w:color w:val="000000"/>
          <w:sz w:val="21"/>
          <w:szCs w:val="21"/>
          <w:shd w:val="clear" w:color="auto" w:fill="FFFFFF"/>
        </w:rPr>
        <w:t xml:space="preserve">Başka bir kararına konu olan olayda da, hâkim olan ve 2802 sayılı Hâkimler ve Savcılar Kanunu'nun 69. maddesine istinaden, yani mesleğin şeref ve onuruna zarar verdiği gerekçesiyle meslekten çıkarılan başvurucu, </w:t>
      </w:r>
      <w:r w:rsidRPr="00A40242">
        <w:rPr>
          <w:rFonts w:ascii="Palatino Linotype" w:hAnsi="Palatino Linotype" w:cstheme="minorHAnsi"/>
          <w:i/>
          <w:color w:val="000000"/>
          <w:sz w:val="21"/>
          <w:szCs w:val="21"/>
          <w:shd w:val="clear" w:color="auto" w:fill="FFFFFF"/>
        </w:rPr>
        <w:t>"mesleğin şeref ve onuru"</w:t>
      </w:r>
      <w:r w:rsidRPr="00A40242">
        <w:rPr>
          <w:rFonts w:ascii="Palatino Linotype" w:hAnsi="Palatino Linotype" w:cstheme="minorHAnsi"/>
          <w:color w:val="000000"/>
          <w:sz w:val="21"/>
          <w:szCs w:val="21"/>
          <w:shd w:val="clear" w:color="auto" w:fill="FFFFFF"/>
        </w:rPr>
        <w:t xml:space="preserve"> kavramlarının muğlak, belirsiz ve hukuki olmaktan çok ahlaki olduğunu ve bu kavramlarının bir hakimin özel yaşamındaki tutum ve davranışları nedeniyle meslekten çıkarılmasını gerektirmediğini belirterek 8. maddedeki hakkının ihlal edildiğini iddia etmiştir. AİHM, hükümetin 69. madde de geçen kavramları tanımlayan bir yargısal karar gösteremediğini ve dolayısıyla söz konusu hukukun kamu makamlarının bu alandaki yetkilerinin esaslı unsurlarını yeterli açıklıkta gösterdiğinin şüpheli olduğunu belirtmiştir.</w:t>
      </w:r>
      <w:r w:rsidRPr="00A40242">
        <w:rPr>
          <w:rStyle w:val="DipnotBavurusu"/>
          <w:rFonts w:ascii="Palatino Linotype" w:hAnsi="Palatino Linotype" w:cstheme="minorHAnsi"/>
          <w:color w:val="000000"/>
          <w:sz w:val="21"/>
          <w:szCs w:val="21"/>
          <w:shd w:val="clear" w:color="auto" w:fill="FFFFFF"/>
        </w:rPr>
        <w:footnoteReference w:id="123"/>
      </w:r>
    </w:p>
    <w:p w14:paraId="1D3A9C7F" w14:textId="77777777" w:rsidR="00936167" w:rsidRPr="00A40242" w:rsidRDefault="00936167" w:rsidP="00936167">
      <w:pPr>
        <w:spacing w:before="120" w:after="120" w:line="240" w:lineRule="auto"/>
        <w:ind w:firstLine="567"/>
        <w:jc w:val="both"/>
        <w:rPr>
          <w:rFonts w:ascii="Palatino Linotype" w:hAnsi="Palatino Linotype" w:cstheme="minorHAnsi"/>
          <w:color w:val="000000"/>
          <w:sz w:val="21"/>
          <w:szCs w:val="21"/>
          <w:shd w:val="clear" w:color="auto" w:fill="FFFFFF"/>
        </w:rPr>
      </w:pPr>
      <w:r w:rsidRPr="00A40242">
        <w:rPr>
          <w:rFonts w:ascii="Palatino Linotype" w:hAnsi="Palatino Linotype" w:cstheme="minorHAnsi"/>
          <w:color w:val="000000"/>
          <w:sz w:val="21"/>
          <w:szCs w:val="21"/>
          <w:shd w:val="clear" w:color="auto" w:fill="FFFFFF"/>
        </w:rPr>
        <w:lastRenderedPageBreak/>
        <w:t xml:space="preserve">AYM'de, 1136 sayılı Kanun'un avukatlık mesleğine kabul talebinin reddine ilişkin hususları düzenleyen 5/1-c maddesindeki; </w:t>
      </w:r>
      <w:r w:rsidRPr="00A40242">
        <w:rPr>
          <w:rFonts w:ascii="Palatino Linotype" w:hAnsi="Palatino Linotype" w:cstheme="minorHAnsi"/>
          <w:i/>
          <w:color w:val="000000"/>
          <w:sz w:val="21"/>
          <w:szCs w:val="21"/>
          <w:shd w:val="clear" w:color="auto" w:fill="FFFFFF"/>
        </w:rPr>
        <w:t>"avukatlık mesleğine yaraşmayacak tutum ve davranışları çevresince bilinmiş olmak"</w:t>
      </w:r>
      <w:r w:rsidRPr="00A40242">
        <w:rPr>
          <w:rFonts w:ascii="Palatino Linotype" w:hAnsi="Palatino Linotype" w:cstheme="minorHAnsi"/>
          <w:color w:val="000000"/>
          <w:sz w:val="21"/>
          <w:szCs w:val="21"/>
          <w:shd w:val="clear" w:color="auto" w:fill="FFFFFF"/>
        </w:rPr>
        <w:t xml:space="preserve"> hükmünün iptali istemiyle açılan davada, madde de geçen kavramların muğlak ve objektiflikten uzak olduğunu, mesleğe kabulde barolara sınırları belli olmayan geniş bir takdir yetkisi verildiği ve bu durumun avukat adayları için öngörülebilir olmadığı gibi baroların keyfi yorum ve uygulamalarına karşı da yeterli koruma sağlamadığını belirtmiş ve hukuki güvenlik ve belirlilik ilkelerine aykırı olan maddenin iptaline karar vermiştir.</w:t>
      </w:r>
      <w:r w:rsidRPr="00A40242">
        <w:rPr>
          <w:rStyle w:val="DipnotBavurusu"/>
          <w:rFonts w:ascii="Palatino Linotype" w:hAnsi="Palatino Linotype" w:cstheme="minorHAnsi"/>
          <w:color w:val="000000"/>
          <w:sz w:val="21"/>
          <w:szCs w:val="21"/>
          <w:shd w:val="clear" w:color="auto" w:fill="FFFFFF"/>
        </w:rPr>
        <w:footnoteReference w:id="124"/>
      </w:r>
    </w:p>
    <w:p w14:paraId="6C9288E1" w14:textId="77777777" w:rsidR="00936167" w:rsidRPr="00A40242" w:rsidRDefault="00936167" w:rsidP="00936167">
      <w:pPr>
        <w:spacing w:before="120" w:after="120" w:line="240" w:lineRule="auto"/>
        <w:ind w:firstLine="567"/>
        <w:jc w:val="both"/>
        <w:rPr>
          <w:rStyle w:val="HafifVurgulama"/>
          <w:rFonts w:ascii="Palatino Linotype" w:hAnsi="Palatino Linotype" w:cstheme="minorHAnsi"/>
          <w:i w:val="0"/>
          <w:sz w:val="21"/>
          <w:szCs w:val="21"/>
        </w:rPr>
      </w:pPr>
      <w:r w:rsidRPr="00A40242">
        <w:rPr>
          <w:rFonts w:ascii="Palatino Linotype" w:hAnsi="Palatino Linotype" w:cstheme="minorHAnsi"/>
          <w:color w:val="000000"/>
          <w:sz w:val="21"/>
          <w:szCs w:val="21"/>
          <w:shd w:val="clear" w:color="auto" w:fill="FFFFFF"/>
        </w:rPr>
        <w:t>Hukuki bir dayanağının bulunması, erişilebilir ve öngörülebilir olması yapılan müdahalenin hukuka uygun uygunluğu için yeterli olmayıp, mevcut hukuk aynı zamanda keyfi müdahalelere karşı ilgililere teminatlarda sunmalıdır. Örneğin, idareye takdir yetkisi tanıyan bir düzenleme bu yetkinin sınırlarını da göstermelidir.</w:t>
      </w:r>
      <w:r w:rsidRPr="00A40242">
        <w:rPr>
          <w:rStyle w:val="DipnotBavurusu"/>
          <w:rFonts w:ascii="Palatino Linotype" w:hAnsi="Palatino Linotype" w:cstheme="minorHAnsi"/>
          <w:color w:val="000000"/>
          <w:sz w:val="21"/>
          <w:szCs w:val="21"/>
          <w:shd w:val="clear" w:color="auto" w:fill="FFFFFF"/>
        </w:rPr>
        <w:footnoteReference w:id="125"/>
      </w:r>
    </w:p>
    <w:p w14:paraId="4C9A0A4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AİHM konuyla ilgili verdiği bir kararında, özel ya da mesleki yaşamında bir yargı mensubunun kendisine duyulan saygı ve güven duygusunu zedeleyen davranışlarda bulunmasının yargının saygınlığını zedeleyebileceğini, ancak bir hâkim-savcının özel hayatıyla ilgili faaliyetlerinin sonuçlarını belli bir ölçüde öngörebilmesi ve gerektiği takdirde uygun güvencelerden yararlanabilmesi gerektiğini, özellikle mesleki yaşam ile özel yaşamın kesiştiği noktalarda ve ilgilinin hangi alanda hareket ettiğinin tespitinin zor olduğu durumlarda bu teminatların varlığının daha da gerekli olduğunu ve iç hukukta, bir yargı mensubunun özel hayatına ilişkin iddialara ve keyfiliğe karşı korunabilmesi için yeterli güvencelere sahip olması gerektiğini belirttikten sonra şöyle demiştir: </w:t>
      </w:r>
    </w:p>
    <w:p w14:paraId="4C8977B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Disiplin soruşturmasına konu olan birçok davranış başvurucunun mesleki değil, özel yaşamıyla ilgilidir ve başvurucu meslekten çıkarılmasıyla sonuçlanan disiplin soruşturması sırasında çok az teminattan yararlanmıştır. Zira soruşturma başladıktan sonra kendisine sadece yöneltilen suçlamalar bildirilmiştir. Ayrıca, müfettiş tarafından yapılan soruşturma asgari güvenceleri dahi taşımamaktadır. Soruşturma sırasında dinlenen tanıkların beyanı ve müfettiş raporu başvurucuya bildirilmemiş, başvurucu müfettişe ve HSYK'ya yazılı savunma verse de, karardan önce müfettiş ve Kurul tarafından dinlenmemiştir. Soruşturma boyunca yalnızca HSYK'nın kararına yaptığı itirazın incelenmesi sırasında kendini ifade imkânı bulabilmiş ve bu durum AİHM'e çok ilginç gelmiştir. Yine AİHM, öngörülen tedbirin maddi ve hukuki bütün hususları incelemeye, hukukiliğiyle ilgili karar vermeye ve yetkinin kötüye kullanılması halinde bunu cezalandırmaya yetkili, bağımsız ve tarafsız bir makam tarafından denetlenmesi ve ilgilinin bu makam huzurunda kendini savunup, aleyhine olan iddiaları reddedebileceği bir yargılama imkânına sahip olması gerektiğini, ancak bu imkânların hiçbirinin söz konusu olayda başvurucuya sunulmadığı gibi yeniden incelmeyi de yine HSYK’nın yaptığını ve bu güvencelerin başvurucunun serbest avukatlık yapma hakkını da kaybetmesi nedeniyle daha önemli hale geldiğini belirterek 8. maddenin ihlaline karar vermiştir.</w:t>
      </w:r>
      <w:r w:rsidRPr="00A40242">
        <w:rPr>
          <w:rStyle w:val="DipnotBavurusu"/>
          <w:rFonts w:ascii="Palatino Linotype" w:hAnsi="Palatino Linotype" w:cstheme="minorHAnsi"/>
          <w:sz w:val="21"/>
          <w:szCs w:val="21"/>
        </w:rPr>
        <w:footnoteReference w:id="126"/>
      </w:r>
    </w:p>
    <w:p w14:paraId="50C3C36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Yapılan açıklamalardan sonra HSYK kararını değerlendirmek gerekirse, öncelikle bu karar nedeniyle AİHS'in 8. maddesinin ihlal edilip edilmediğine değinilmesinde fayda vardır. Hâkimlik ve savcılık statüsü ilgililerin Sözleşme'nin 8. maddesinden yararlanmalarına engel değildir ve söz konusu müdahalenin ilgilinin özel yaşamındaki davranışlarıyla ilgili olması halinde 8. maddenin ihlali gündeme gelir. HSYK kararı incelendiğinde, yargı mensuplarının mesleki yaşamlarından öte özel yaşamlarındaki eylem ve ilişkileri nedeniyle ihraç edildikleri </w:t>
      </w:r>
      <w:r w:rsidRPr="00A40242">
        <w:rPr>
          <w:rFonts w:ascii="Palatino Linotype" w:hAnsi="Palatino Linotype" w:cstheme="minorHAnsi"/>
          <w:sz w:val="21"/>
          <w:szCs w:val="21"/>
        </w:rPr>
        <w:lastRenderedPageBreak/>
        <w:t xml:space="preserve">görülmektedir. Zira kararda yargı mensuplarının FETÖ/PDY örgütüyle irtibat ve iltisaklarının bulunduğu iddia edilmektedir ve bu iddiaya dayanak gösterilen özlük dosyalarındaki bilgi ve belgeler, sosyal medya hesaplarındaki paylaşımlar, mahallinde yapılan araştırmalar, haberleşme için kullandıkları şifreli haberleşme programında yer alan kayıtlar, FETÖ/PDY mensubu olduklarına dair terörle mücadele birimlerince düzenlenen raporlar ve sosyal çevre bilgileri gibi hususlar mesleki yaşamla değil, özel yaşamla ilgilidir. </w:t>
      </w:r>
    </w:p>
    <w:p w14:paraId="012D6C7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Benzer şekilde, haklarında verilmiş ve kesinleşmiş bir mahkeme kararı bulunmasa da, ihraçlarına karar verilen yargı mensuplarının bir terör örgütüyle irtibatlı ya da iltisaklı olduklarına ilişkin verilen ve kesin hüküm içeren kararın isim listesiyle yayımlanması ilgililerin onurunu zedeleyici niteliktedir ve bu durum kamu makamlarının özen yükümlülüğü ile bireyin onurunun korunması hakkına aykırıdır.</w:t>
      </w:r>
      <w:r w:rsidRPr="00A40242">
        <w:rPr>
          <w:rStyle w:val="DipnotBavurusu1"/>
          <w:rFonts w:ascii="Palatino Linotype" w:hAnsi="Palatino Linotype" w:cstheme="minorHAnsi"/>
          <w:sz w:val="21"/>
          <w:szCs w:val="21"/>
        </w:rPr>
        <w:footnoteReference w:id="127"/>
      </w:r>
      <w:r w:rsidRPr="00A40242">
        <w:rPr>
          <w:rFonts w:ascii="Palatino Linotype" w:hAnsi="Palatino Linotype" w:cstheme="minorHAnsi"/>
          <w:sz w:val="21"/>
          <w:szCs w:val="21"/>
        </w:rPr>
        <w:t xml:space="preserve"> Zira yargı mensupları, haklarında hiçbir somut belge ve bilgi olmadan silahlı terör örgütü üyesi kabul edilerek sadece kendilerinin değil, aile fertlerinin de hayatını etkileyecek şekilde kamuoyuna teşhir edilmişler ve bunun sonucu olarak eş ve çocukları çevrelerinde silahlı terör örgütü üyesi ailesi olarak bilinme sıkıntısıyla karşı karşıya kalmışlardır. Kısaca, ilgililerin özel hayatlarına ilişkin hususlarla ilgili verilen kararın özel yaşam hakkına müdahale oluşturduğunda şüphe yoktur.</w:t>
      </w:r>
    </w:p>
    <w:p w14:paraId="46A7D838"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Kararın 667 sayılı OHAL KHK'sinin 3/1. maddesine dayanılarak verilmesi nedeniyle hukuki bir temeli vardır. Acaba, özel hayata yapılan müdahale önceden öngörülebilir ve erişilebilir nitelikte midir? Kararda yer verilen irtibat ve iltisak gibi kavramlar hukuki olmayıp, istihbari niteliktedir ve daha önce Türk hukuk sisteminde bulunmayan, kapsamına hangi hususların girdiği belli olmayan muğlak kavramlardır. Ayrıca bu kavramları tanımlayan her hangi bir mahkeme kararı da bulunmamaktadır. Aynı şekilde, kişiselleştirme yapılmadığından kararda yer verilen ve özel hayata ilişkin olan hususların da ne suretle ihraca gerekçe yapıldığı belirsizdir ve yargı mensuplarının bir yere danışmak suretiyle de öğrenemeyecekleri bu gibi soyut kavramlarla meslekten çıkarılmaları öngörülebilir değildir.</w:t>
      </w:r>
    </w:p>
    <w:p w14:paraId="301EA9E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İhraca gerekçe yapılan 667 sayılı KHK'nin 3. maddesinde terör örgütlerine veya MGK'ca Devletin milli güvenliğine karşı faaliyette bulunduğuna karar verilen yapı, oluşum veya gruplara üyeliği, mensubiyeti veya iltisakı ya da bunlarla irtibatı olduğu değerlendirilen yargı mensuplarının meslekten çıkarılmasına karar verileceği belirtilse de, yargı mensuplarının tamamı FETÖ/PDY örgütüyle iltisaklı ve irtibatlı olmaları nedeniyle, yani MGK kararına atıfla meslekten çıkarılmış olup,</w:t>
      </w:r>
      <w:r w:rsidRPr="00A40242">
        <w:rPr>
          <w:rFonts w:ascii="Palatino Linotype" w:hAnsi="Palatino Linotype" w:cstheme="minorHAnsi"/>
          <w:i/>
          <w:sz w:val="21"/>
          <w:szCs w:val="21"/>
        </w:rPr>
        <w:t xml:space="preserve"> "terör örgütleri"</w:t>
      </w:r>
      <w:r w:rsidRPr="00A40242">
        <w:rPr>
          <w:rFonts w:ascii="Palatino Linotype" w:hAnsi="Palatino Linotype" w:cstheme="minorHAnsi"/>
          <w:sz w:val="21"/>
          <w:szCs w:val="21"/>
        </w:rPr>
        <w:t xml:space="preserve"> ile irtibatı, iltisakı ya da üyeliği nedeniyle meslekten çıkarılan bir yargı mensubu bulunmamaktadır. Bunun nedeni, kararın verildiği tarih itibariyle yargı mensuplarından terör örgütü üyesi olduğuna karar verilen bir kimsenin ve FETÖ/PDY isimli bir terör örgütünün olmadığının HSYK tarafından biliniyor olmasıdır. Yani, HSYK yargı mensuplarına yönelttiği örgüt üyeliği suçlamasıyla ilgili mahkemelerce verilmiş bir kararın varlığını aramak yerine, kararları tavsiye niteliğinde olan MGK kararlarına dayanarak anayasal ve yasal teminatları bulunan yargı mensuplarını ihraç etmiştir. HSYK'nın mahkemelerce verilecek kararları beklemeden ihraç karar vermesinin nedeni, üç yıldır üzerinde çalışıp istihbari ve fişleme raporlarıyla oluşturduğu listede yer alan kişilerin görevlerine son vermek için acelesinin olması ve imdadına </w:t>
      </w:r>
      <w:r w:rsidRPr="00A40242">
        <w:rPr>
          <w:rFonts w:ascii="Palatino Linotype" w:hAnsi="Palatino Linotype" w:cstheme="minorHAnsi"/>
          <w:i/>
          <w:sz w:val="21"/>
          <w:szCs w:val="21"/>
        </w:rPr>
        <w:t>"tam bir lütuf"</w:t>
      </w:r>
      <w:r w:rsidRPr="00A40242">
        <w:rPr>
          <w:rFonts w:ascii="Palatino Linotype" w:hAnsi="Palatino Linotype" w:cstheme="minorHAnsi"/>
          <w:sz w:val="21"/>
          <w:szCs w:val="21"/>
        </w:rPr>
        <w:t xml:space="preserve"> gibi yetişen darbe teşebbüsü sonrası çıkarılan OHAL KHK'siyle kendisine verilen olağanüstü yetkiyi bir an önce kullanma isteğidir.</w:t>
      </w:r>
    </w:p>
    <w:p w14:paraId="23689B6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Bu kararın anlamı, idari bir kurum olan ve kararları bağlayıcı olmayan MGK kararı gerekçe yapılarak kişilere terör örgütü üyeliği gibi ağır bir suçlamada bulunulabilmesinin mümkün hale geldiğidir. Ancak, icrai nitelik taşımayan ve yargısal denetimi de bulunmayan MGK kararlarına göre kişilerin özel hayata ilişkin davranışlarını ayarlamalarını beklemek öngörülebilir olmadığı </w:t>
      </w:r>
      <w:r w:rsidRPr="00A40242">
        <w:rPr>
          <w:rFonts w:ascii="Palatino Linotype" w:hAnsi="Palatino Linotype" w:cstheme="minorHAnsi"/>
          <w:sz w:val="21"/>
          <w:szCs w:val="21"/>
        </w:rPr>
        <w:lastRenderedPageBreak/>
        <w:t>gibi gizli olan bu kararlara dayanılarak hak ve hürriyetlere yapılacak müdahalenin hukukilik şartını karşıladığını söylemek de mümkün değildir.</w:t>
      </w:r>
    </w:p>
    <w:p w14:paraId="7F1F40EB"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Kaldı ki AİHM, MGK'nın 28 Şubat 1997 tarihinde aldığı 406 sayılı kararı gerekçe gösterilerek hakkında soruşturma yapılan ve görev yeri değiştirilen bir vali yardımcısının yaptığı başvuruda şunları söylemiştir;</w:t>
      </w:r>
      <w:r w:rsidRPr="00A40242">
        <w:rPr>
          <w:rStyle w:val="DipnotBavurusu"/>
          <w:rFonts w:ascii="Palatino Linotype" w:hAnsi="Palatino Linotype" w:cstheme="minorHAnsi"/>
          <w:sz w:val="21"/>
          <w:szCs w:val="21"/>
        </w:rPr>
        <w:footnoteReference w:id="128"/>
      </w:r>
      <w:r w:rsidRPr="00A40242">
        <w:rPr>
          <w:rFonts w:ascii="Palatino Linotype" w:hAnsi="Palatino Linotype" w:cstheme="minorHAnsi"/>
          <w:sz w:val="21"/>
          <w:szCs w:val="21"/>
        </w:rPr>
        <w:t xml:space="preserve"> başvurucunun görev yerinin değiştirilmesinde hükümetin iddia ettiği gibi kişisel özellikleri etkili olsa bile, uygulanan tedbirde başvurucunun dini görüşünün, eşinin kılık kıyafetinin ve MGK’nın 406 sayılı kararının bu kadar önemli olmasının nedenini anlamak güçtür. Somut olayın koşulları bir bütün olarak değerlendirildiğinde, başvurucunu özel hayatı ve inançları ile görev yerinin değiştirilmesi arasında açık bir illiyet bağı vardır. Başvurucunun yerinin değiştirilmesi bir çeşit </w:t>
      </w:r>
      <w:r w:rsidRPr="00A40242">
        <w:rPr>
          <w:rFonts w:ascii="Palatino Linotype" w:hAnsi="Palatino Linotype" w:cstheme="minorHAnsi"/>
          <w:i/>
          <w:sz w:val="21"/>
          <w:szCs w:val="21"/>
        </w:rPr>
        <w:t>“üstü kapalı yaptırım”</w:t>
      </w:r>
      <w:r w:rsidRPr="00A40242">
        <w:rPr>
          <w:rFonts w:ascii="Palatino Linotype" w:hAnsi="Palatino Linotype" w:cstheme="minorHAnsi"/>
          <w:sz w:val="21"/>
          <w:szCs w:val="21"/>
        </w:rPr>
        <w:t xml:space="preserve"> dır. Başka bir deyişle, öngörülen yaptırım disiplin alanına mutlak şekilde bağlı kalmadan, resmi konumuna aykırı hareket eden bir görevliye yaptırım niyetinin yansıtıldığı bir tedbir niteliğindedir ve bu nedenle ilgilinin özel hayatına müdahale teşkil etmektedir. Ayrıca, hükümet söz konusu müdahalenin ne yasal dayanağını ne izlediği meşru amacı ne de demokratik bir toplumda gerekliliğini ortaya koyamamıştır. Öte yandan, başvurucunun dini bir harekete yakınlığı veya üyeliği aleyhine bir tedbir alınması için yeterli değildir. Bunun için, başvurucunun tarafsız şekilde hareket etmediği veya söz konusu üyelerden talimat aldığı ya da söz konusu hareketin gerçekten de ulusal güvenlik için tehlike arz ettiğinin açık bir şekilde kanıtlanması gerekir. Yine, gerçekten de böyle bir tehlike olsa dahi bu tehlikenin basit bir atama işlemiyle bertaraf edilebilmesi mümkün değildir. </w:t>
      </w:r>
    </w:p>
    <w:p w14:paraId="6D0A6A8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OHAL KHK'sinde yer verilen hususların öngörülebilir olmadığının bir diğer göstergesi, yargı mensuplarının 16 Temmuz 2016 tarihinde hiçbir somut delil gösterilmeden açığa alınmaları ve ihraçlarına esas teşkil eden OHAL KHK'sinin de bir hafta sonra yani 23/7/2016 tarihinde yayımlanmış olmasıdır. KHK'de ihraç gerekçesi yapılan ve Türk hukukunda ilk defa yer verilen hususları yargı mensuplarının yayımlanmadan önce öngörmeleri ve kapsamı ve mahiyeti belirsiz bu kavramlara göre özel hayatlarını ve davranışlarını düzenleyebilmeleri imkânsızdır. </w:t>
      </w:r>
    </w:p>
    <w:p w14:paraId="43A5EAA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Kararın öngörülebilir ve erişilebilir olmadığının başka bir göstergesi de, KHK'nin 3. ve 4. maddelerine dayanılarak gerçekleştirilen meslekten çıkarma işleminin geçici olmayan ve nihai sonuç doğuran olağanüstü bir tedbir olarak kabul edilmesidir. Yargı mensupları hakkında yapılacak disiplin soruşturması ve verilecek cezaların ayrıntılarıyla düzenlendiği 2802 sayılı Kanun'da KHK'deki sebeplerle ihracı gerektirecek bir hususa yer verilmemiş olup, yargı mensupları da dâhil herkesin ilk defa OHAL KHK'sinin yayımlanmasıyla öğrendiği bu hususların öngörülebilir olarak kabulü mümkün olmadığı gibi, geçmişteki eylem ve davranışları ihraca gerekçe yapması nedeniyle erişilebilir de değildir. Zira, müdahalenin erişilebilir olarak kabulü, müdahaleye dayanak teşkil eden düzenlemenin yayımlanarak ulaşılabilir hale gelmesine bağlıdır. Somut olay açısından bakıldığında, ihraca gerekçe yapılan düzenlemenin erişilebilir olduğu tarih itibariyle yargı mensupları açığa alındıklarından zaten görevde değillerdir.</w:t>
      </w:r>
    </w:p>
    <w:p w14:paraId="4F27DD4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Kararda yer verilen hususlar sadece yargı mensupları için değil, HSYK için de öngörülebilir ve erişilebilir değildir. Zira binlerce kişiyle ilgili bu kadar ayrıntılı bilgi bir gecede elde edilemeyeceğine ve bu bilgiler ihraca neden olabilecek nitelikte olduğuna göre neden HSYK 15 Temmuz'a kadar bu kişileri ihraç etmemiş ya da haklarında bir soruşturma başlatmamıştır? Bu sorunun cevabı, 15 Temmuz'a kadar bu hususları ihraç gerekçesi yapan bir düzenlemenin hukuk sistemimizde bulunmamasıdır. </w:t>
      </w:r>
    </w:p>
    <w:p w14:paraId="47602FF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eastAsiaTheme="minorHAnsi" w:hAnsi="Palatino Linotype" w:cs="Times New Roman"/>
          <w:sz w:val="21"/>
          <w:szCs w:val="21"/>
          <w:lang w:eastAsia="en-US"/>
        </w:rPr>
        <w:t xml:space="preserve">Yapılan açıklamalardan da anlaşılacağı üzere, AİHM'in 2802 sayılı Kanun'un 69. maddesinde yer alan mesleğin şeref ve onuru gibi kavramları yeterli açıklıkta ve öngörülebilir </w:t>
      </w:r>
      <w:r w:rsidRPr="00A40242">
        <w:rPr>
          <w:rFonts w:ascii="Palatino Linotype" w:eastAsiaTheme="minorHAnsi" w:hAnsi="Palatino Linotype" w:cs="Times New Roman"/>
          <w:sz w:val="21"/>
          <w:szCs w:val="21"/>
          <w:lang w:eastAsia="en-US"/>
        </w:rPr>
        <w:lastRenderedPageBreak/>
        <w:t>bulmadığı düşünüldüğünde,</w:t>
      </w:r>
      <w:r w:rsidRPr="00A40242">
        <w:rPr>
          <w:rFonts w:ascii="Palatino Linotype" w:eastAsiaTheme="minorHAnsi" w:hAnsi="Palatino Linotype" w:cs="Times New Roman"/>
          <w:sz w:val="21"/>
          <w:szCs w:val="21"/>
          <w:vertAlign w:val="superscript"/>
          <w:lang w:eastAsia="en-US"/>
        </w:rPr>
        <w:footnoteReference w:id="129"/>
      </w:r>
      <w:r w:rsidRPr="00A40242">
        <w:rPr>
          <w:rFonts w:ascii="Palatino Linotype" w:eastAsiaTheme="minorHAnsi" w:hAnsi="Palatino Linotype" w:cs="Times New Roman"/>
          <w:sz w:val="21"/>
          <w:szCs w:val="21"/>
          <w:lang w:eastAsia="en-US"/>
        </w:rPr>
        <w:t xml:space="preserve"> irtibat ve iltisak gibi kapsamı belirsiz kavramlara </w:t>
      </w:r>
      <w:r w:rsidRPr="00A40242">
        <w:rPr>
          <w:rFonts w:ascii="Palatino Linotype" w:hAnsi="Palatino Linotype" w:cstheme="minorHAnsi"/>
          <w:sz w:val="21"/>
          <w:szCs w:val="21"/>
        </w:rPr>
        <w:t>dayanılarak yargı mensuplarının özel yaşam haklarına yapılan müdahaleyi öngörülebilir ve uygulanan hukuku da erişilebilir bulması mümkün değildir.</w:t>
      </w:r>
    </w:p>
    <w:p w14:paraId="501C6A9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Özel hayatlarına yapılan müdahaleye karşın, acaba yargı mensuplarına yeterli güvenceler sağlanmış mıdır ve idareye takdir yetkisi tanıyan bu düzenlemenin sınırları KHK'de gösterilmiş midir?</w:t>
      </w:r>
    </w:p>
    <w:p w14:paraId="6D3249F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eastAsiaTheme="minorHAnsi" w:hAnsi="Palatino Linotype" w:cs="Times New Roman"/>
          <w:sz w:val="21"/>
          <w:szCs w:val="21"/>
          <w:lang w:eastAsia="en-US"/>
        </w:rPr>
        <w:t>Meslekten çıkarma kararı verilmeden önce 2802 sayılı Kanun'da öngörülen disiplin süreciyle ilgili prosedüre uyulmamış, yöneltilen suçlamalar yargı mensuplarına bildirilmemiş, cezai bir isnatta bulunulmasına rağmen adil yargılanma hakkının tanıdığı teminatlar tanınmamış ve bu kişiler müfettiş ya da HSYK tarafından da dinlenilmemiştir.</w:t>
      </w:r>
    </w:p>
    <w:p w14:paraId="3D4BA50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OHAL KHK'sinin verdiği yetkiye istinaden, HSYK olağanüstü bir tedbir olarak tarif ettiği, aleyhine bağımsız bir makama itiraz etme ve dava açma imkânı olmayan ve kişiselleştirme yapılmayan aynı şablon kararla binlerce hâkim ve savcıyı meslekten çıkarmıştır. Ayrıca, kararın bir neticesi olarak ilgililerin avukatlık yapmaları ve ömür boyu kamu görevinde bulunmaları da yasaklanmış, pasaportları ile silah ruhsatları iptal edilmiş</w:t>
      </w:r>
      <w:r w:rsidRPr="00A40242">
        <w:rPr>
          <w:rStyle w:val="DipnotBavurusu"/>
          <w:rFonts w:ascii="Palatino Linotype" w:hAnsi="Palatino Linotype" w:cstheme="minorHAnsi"/>
          <w:sz w:val="21"/>
          <w:szCs w:val="21"/>
        </w:rPr>
        <w:footnoteReference w:id="130"/>
      </w:r>
      <w:r w:rsidRPr="00A40242">
        <w:rPr>
          <w:rFonts w:ascii="Palatino Linotype" w:hAnsi="Palatino Linotype" w:cstheme="minorHAnsi"/>
          <w:sz w:val="21"/>
          <w:szCs w:val="21"/>
        </w:rPr>
        <w:t xml:space="preserve"> ve mesleğin bu kişilere tanıdığı imkân ve yetkiler ellerinden alınmıştır. Yani karar ilgililerin kariyeri ve geleceği üzerinde çok ağır sonuçlar doğurmuştur.</w:t>
      </w:r>
      <w:r w:rsidRPr="00A40242">
        <w:rPr>
          <w:rStyle w:val="DipnotBavurusu"/>
          <w:rFonts w:ascii="Palatino Linotype" w:hAnsi="Palatino Linotype" w:cstheme="minorHAnsi"/>
          <w:sz w:val="21"/>
          <w:szCs w:val="21"/>
        </w:rPr>
        <w:footnoteReference w:id="131"/>
      </w:r>
    </w:p>
    <w:p w14:paraId="1A05D3F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Ayrıca, OHAL KHK'sinde HSYK'ya tanınan yetkinin sınırlarını gösteren bir düzenlemeye de yer verilmemiş, hiçbir somut delil, bilgi ve belge göstermeden ve herhangi bir soruşturma işlemine gerek duymadan Kurul'a ihraç yetkisi verilmiştir. Yani ihraç edilenlerin neden ihraç edildiklerini, edilmeyenlerinde neden meslekte kaldıklarını bilmedikleri yargısız infaz niteliği taşıyan bir kararla hâkim ve savcılar mesleklerinden çıkarılmıştır. AİHM'in, 2802 sayılı Kanun'daki usule uygun şekilde meslekten çıkarılan bir hâkimin bile keyfiliğe karşı Sözleşme'nin 8. maddesinde öngörülen teminatlardan yararlandırılmadığını belirtmesi karşısında,</w:t>
      </w:r>
      <w:r w:rsidRPr="00A40242">
        <w:rPr>
          <w:rStyle w:val="DipnotBavurusu"/>
          <w:rFonts w:ascii="Palatino Linotype" w:hAnsi="Palatino Linotype" w:cstheme="minorHAnsi"/>
          <w:sz w:val="21"/>
          <w:szCs w:val="21"/>
        </w:rPr>
        <w:footnoteReference w:id="132"/>
      </w:r>
      <w:r w:rsidRPr="00A40242">
        <w:rPr>
          <w:rFonts w:ascii="Palatino Linotype" w:hAnsi="Palatino Linotype" w:cstheme="minorHAnsi"/>
          <w:sz w:val="21"/>
          <w:szCs w:val="21"/>
        </w:rPr>
        <w:t xml:space="preserve"> somut olay açısından nasıl bir karar vereceğini tahmin etmek zor olmasa gerektir. Zira karara muhatap olan yargı mensupları 8. maddenin sunduğu teminatların değil asgarisinden, hiç birisinden faydalandırılmamıştır.</w:t>
      </w:r>
    </w:p>
    <w:p w14:paraId="6CA21BFF" w14:textId="77777777" w:rsidR="00936167" w:rsidRPr="006A680F" w:rsidRDefault="00936167" w:rsidP="00936167">
      <w:pPr>
        <w:pStyle w:val="Balk4"/>
        <w:numPr>
          <w:ilvl w:val="1"/>
          <w:numId w:val="42"/>
        </w:numPr>
        <w:spacing w:before="120" w:after="120" w:line="240" w:lineRule="auto"/>
        <w:ind w:left="993" w:hanging="426"/>
        <w:rPr>
          <w:rFonts w:ascii="Palatino Linotype" w:hAnsi="Palatino Linotype" w:cstheme="minorHAnsi"/>
          <w:b/>
          <w:bCs/>
          <w:i w:val="0"/>
          <w:color w:val="auto"/>
          <w:sz w:val="21"/>
          <w:szCs w:val="21"/>
        </w:rPr>
      </w:pPr>
      <w:r w:rsidRPr="006A680F">
        <w:rPr>
          <w:rFonts w:ascii="Palatino Linotype" w:hAnsi="Palatino Linotype" w:cstheme="minorHAnsi"/>
          <w:b/>
          <w:bCs/>
          <w:i w:val="0"/>
          <w:color w:val="auto"/>
          <w:sz w:val="21"/>
          <w:szCs w:val="21"/>
        </w:rPr>
        <w:lastRenderedPageBreak/>
        <w:t>Meşru Amaç</w:t>
      </w:r>
    </w:p>
    <w:p w14:paraId="22190158"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b/>
          <w:i w:val="0"/>
          <w:iCs w:val="0"/>
          <w:color w:val="auto"/>
          <w:sz w:val="21"/>
          <w:szCs w:val="21"/>
        </w:rPr>
      </w:pPr>
      <w:r w:rsidRPr="006A680F">
        <w:rPr>
          <w:rStyle w:val="HafifVurgulama"/>
          <w:rFonts w:ascii="Palatino Linotype" w:hAnsi="Palatino Linotype" w:cstheme="minorHAnsi"/>
          <w:i w:val="0"/>
          <w:iCs w:val="0"/>
          <w:color w:val="auto"/>
          <w:sz w:val="21"/>
          <w:szCs w:val="21"/>
        </w:rPr>
        <w:t>Hakka yapılan müdahalenin haklılığı, Sözleşme'nin 8/2. maddesinde yer verilen meşru amaçlardan birine dayanmasına bağlıdır. Aksi halde hakkın ihlali söz konusu olur. Maddede yer verilen sınırlama sebepleri şunlardır; ulusal güvenlik, kamu güvenliği, ülkenin ekonomik refahı, suçun ve düzensizliğin önlenmesi, genel sağlık-genel ahlakın ve başkalarının hak ve özgürlüklerinin korunması. Müdahalenin iç hukukta bir temeli bulunuyorsa müdahalenin Sözleşme'nin 8/2. maddesinde yer verilen amaçlarından biriyle yapılmadığının kanıtlanması gerekir. Ancak, başvurucunun bu konudaki iddiasını somut delillerle desteklemesi çok zordur. Maddede yer alan kavramlar soyut olup, AİHM'de bu kavramları kendisi tanımlama ve tanımdaki unsurların başvuruya konu olayda bulunup bulunmadığını inceleme yoluna gitmemekte ve genellikle müdahalenin meşru amaçlardan birine dayandığı varsayımıyla haklılık incelemesi yapmaktadır.</w:t>
      </w:r>
      <w:r w:rsidRPr="006A680F">
        <w:rPr>
          <w:rStyle w:val="DipnotBavurusu"/>
          <w:rFonts w:ascii="Palatino Linotype" w:hAnsi="Palatino Linotype" w:cstheme="minorHAnsi"/>
          <w:i/>
          <w:iCs/>
          <w:sz w:val="21"/>
          <w:szCs w:val="21"/>
        </w:rPr>
        <w:footnoteReference w:id="133"/>
      </w:r>
    </w:p>
    <w:p w14:paraId="3455629D"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b/>
          <w:i w:val="0"/>
          <w:iCs w:val="0"/>
          <w:color w:val="auto"/>
          <w:sz w:val="21"/>
          <w:szCs w:val="21"/>
        </w:rPr>
      </w:pPr>
      <w:r w:rsidRPr="006A680F">
        <w:rPr>
          <w:rStyle w:val="HafifVurgulama"/>
          <w:rFonts w:ascii="Palatino Linotype" w:hAnsi="Palatino Linotype" w:cstheme="minorHAnsi"/>
          <w:i w:val="0"/>
          <w:iCs w:val="0"/>
          <w:color w:val="auto"/>
          <w:sz w:val="21"/>
          <w:szCs w:val="21"/>
        </w:rPr>
        <w:t>Davalı ülkeler genellikle müdahalenin birden çok meşru amacının bulunduğunu bildirmekte, bunlardan hangilerinin olayda bulunduğunun takdirini AİHM'e bırakmaktadırlar.</w:t>
      </w:r>
      <w:r w:rsidRPr="006A680F">
        <w:rPr>
          <w:rStyle w:val="DipnotBavurusu"/>
          <w:rFonts w:ascii="Palatino Linotype" w:hAnsi="Palatino Linotype" w:cstheme="minorHAnsi"/>
          <w:i/>
          <w:iCs/>
          <w:sz w:val="21"/>
          <w:szCs w:val="21"/>
        </w:rPr>
        <w:footnoteReference w:id="134"/>
      </w:r>
      <w:r w:rsidRPr="006A680F">
        <w:rPr>
          <w:rStyle w:val="HafifVurgulama"/>
          <w:rFonts w:ascii="Palatino Linotype" w:hAnsi="Palatino Linotype" w:cstheme="minorHAnsi"/>
          <w:b/>
          <w:i w:val="0"/>
          <w:iCs w:val="0"/>
          <w:color w:val="auto"/>
          <w:sz w:val="21"/>
          <w:szCs w:val="21"/>
        </w:rPr>
        <w:t xml:space="preserve"> </w:t>
      </w:r>
      <w:r w:rsidRPr="006A680F">
        <w:rPr>
          <w:rStyle w:val="HafifVurgulama"/>
          <w:rFonts w:ascii="Palatino Linotype" w:hAnsi="Palatino Linotype" w:cstheme="minorHAnsi"/>
          <w:i w:val="0"/>
          <w:iCs w:val="0"/>
          <w:color w:val="auto"/>
          <w:sz w:val="21"/>
          <w:szCs w:val="21"/>
        </w:rPr>
        <w:t>Ayrıca, davalı ülke müdahalenin meşru amacından açıkça bahsetmese dahi, AİHM meşru amaçlardan biriyle yapıldığını kabul etmektedir.</w:t>
      </w:r>
      <w:r w:rsidRPr="006A680F">
        <w:rPr>
          <w:rStyle w:val="DipnotBavurusu"/>
          <w:rFonts w:ascii="Palatino Linotype" w:hAnsi="Palatino Linotype" w:cstheme="minorHAnsi"/>
          <w:i/>
          <w:iCs/>
          <w:sz w:val="21"/>
          <w:szCs w:val="21"/>
        </w:rPr>
        <w:footnoteReference w:id="135"/>
      </w:r>
    </w:p>
    <w:p w14:paraId="4AB4EC1D"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AİHM, bir hâkimin meslekten çıkarılmasıyla ilgili başvuruda müdahalenin "özensizliğin önlenmesi" ve "başkalarının hak ve özgürlüklerinin korunması" meşru amaçlarına dayandığını belirtmiştir.</w:t>
      </w:r>
      <w:r w:rsidRPr="006A680F">
        <w:rPr>
          <w:rStyle w:val="DipnotBavurusu"/>
          <w:rFonts w:ascii="Palatino Linotype" w:hAnsi="Palatino Linotype" w:cstheme="minorHAnsi"/>
          <w:i/>
          <w:iCs/>
          <w:sz w:val="21"/>
          <w:szCs w:val="21"/>
        </w:rPr>
        <w:footnoteReference w:id="136"/>
      </w:r>
      <w:r w:rsidRPr="006A680F">
        <w:rPr>
          <w:rStyle w:val="HafifVurgulama"/>
          <w:rFonts w:ascii="Palatino Linotype" w:hAnsi="Palatino Linotype" w:cstheme="minorHAnsi"/>
          <w:i w:val="0"/>
          <w:iCs w:val="0"/>
          <w:color w:val="auto"/>
          <w:sz w:val="21"/>
          <w:szCs w:val="21"/>
        </w:rPr>
        <w:t xml:space="preserve"> Somut olay açısından da müdahalenin "ulusal güvenlik" ve "kamu güvenliği" amacıyla yapıldığını belirtmesi büyük ihtimaldir. Ancak AİHM, hakka yapılan müdahale şartlarını sırasıyla incelemekte olup, hukukilik şartının gerçekleşmemesi halinde meşru amaçla yapılıp yapılmadığını da incelememektedir.</w:t>
      </w:r>
      <w:r w:rsidRPr="006A680F">
        <w:rPr>
          <w:rStyle w:val="DipnotBavurusu"/>
          <w:rFonts w:ascii="Palatino Linotype" w:hAnsi="Palatino Linotype" w:cstheme="minorHAnsi"/>
          <w:i/>
          <w:iCs/>
          <w:sz w:val="21"/>
          <w:szCs w:val="21"/>
        </w:rPr>
        <w:footnoteReference w:id="137"/>
      </w:r>
      <w:r w:rsidRPr="006A680F">
        <w:rPr>
          <w:rStyle w:val="HafifVurgulama"/>
          <w:rFonts w:ascii="Palatino Linotype" w:hAnsi="Palatino Linotype" w:cstheme="minorHAnsi"/>
          <w:i w:val="0"/>
          <w:iCs w:val="0"/>
          <w:color w:val="auto"/>
          <w:sz w:val="21"/>
          <w:szCs w:val="21"/>
        </w:rPr>
        <w:t xml:space="preserve"> Somut olay açısından bakıldığında da, hukukilik şartı gerçekleşmediğinden müdahalenin meşru bir amaçla yapılıp yapılmadığını da incelemeyeceği düşünülmektedir.</w:t>
      </w:r>
    </w:p>
    <w:p w14:paraId="19D2EE87" w14:textId="77777777" w:rsidR="00936167" w:rsidRPr="00A40242" w:rsidRDefault="00936167" w:rsidP="00936167">
      <w:pPr>
        <w:pStyle w:val="Balk4"/>
        <w:spacing w:before="120" w:after="120" w:line="240" w:lineRule="auto"/>
        <w:ind w:left="993" w:hanging="426"/>
        <w:jc w:val="both"/>
        <w:rPr>
          <w:rStyle w:val="HafifVurgulama"/>
          <w:rFonts w:ascii="Palatino Linotype" w:hAnsi="Palatino Linotype" w:cstheme="minorHAnsi"/>
          <w:b/>
          <w:color w:val="auto"/>
          <w:sz w:val="21"/>
          <w:szCs w:val="21"/>
        </w:rPr>
      </w:pPr>
      <w:r w:rsidRPr="00595617">
        <w:rPr>
          <w:rStyle w:val="HafifVurgulama"/>
          <w:rFonts w:ascii="Palatino Linotype" w:hAnsi="Palatino Linotype" w:cstheme="minorHAnsi"/>
          <w:b/>
          <w:bCs/>
          <w:color w:val="auto"/>
          <w:sz w:val="21"/>
          <w:szCs w:val="21"/>
        </w:rPr>
        <w:t xml:space="preserve">c. </w:t>
      </w:r>
      <w:r w:rsidRPr="00595617">
        <w:rPr>
          <w:rStyle w:val="HafifVurgulama"/>
          <w:rFonts w:ascii="Palatino Linotype" w:hAnsi="Palatino Linotype" w:cstheme="minorHAnsi"/>
          <w:b/>
          <w:bCs/>
          <w:color w:val="auto"/>
          <w:sz w:val="21"/>
          <w:szCs w:val="21"/>
        </w:rPr>
        <w:tab/>
      </w:r>
      <w:r w:rsidRPr="006A680F">
        <w:rPr>
          <w:rStyle w:val="HafifVurgulama"/>
          <w:rFonts w:ascii="Palatino Linotype" w:hAnsi="Palatino Linotype" w:cstheme="minorHAnsi"/>
          <w:b/>
          <w:bCs/>
          <w:color w:val="auto"/>
          <w:sz w:val="21"/>
          <w:szCs w:val="21"/>
        </w:rPr>
        <w:t>Demokratik Toplum Düzeninin Gereklerine Uygunluk</w:t>
      </w:r>
    </w:p>
    <w:p w14:paraId="4C156A4A"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b/>
          <w:i w:val="0"/>
          <w:iCs w:val="0"/>
          <w:color w:val="auto"/>
          <w:sz w:val="21"/>
          <w:szCs w:val="21"/>
        </w:rPr>
      </w:pPr>
      <w:r w:rsidRPr="006A680F">
        <w:rPr>
          <w:rStyle w:val="HafifVurgulama"/>
          <w:rFonts w:ascii="Palatino Linotype" w:hAnsi="Palatino Linotype" w:cstheme="minorHAnsi"/>
          <w:i w:val="0"/>
          <w:iCs w:val="0"/>
          <w:color w:val="auto"/>
          <w:sz w:val="21"/>
          <w:szCs w:val="21"/>
        </w:rPr>
        <w:t>Hukuken öngörülmüş olma ve meşru bir amaçla yapılma şartlarına uygun olsa bile, hakka yapılan müdahalenin demokratik toplumda gerekli de olması gerekir. AİHM, hoşgörü ve açık fikirliliği Sözleşme'nin 8. maddesi açısından demokratik toplumun özellikleri olarak kabul etmektedir.</w:t>
      </w:r>
      <w:r w:rsidRPr="006A680F">
        <w:rPr>
          <w:rStyle w:val="DipnotBavurusu"/>
          <w:rFonts w:ascii="Palatino Linotype" w:hAnsi="Palatino Linotype" w:cstheme="minorHAnsi"/>
          <w:i/>
          <w:iCs/>
          <w:sz w:val="21"/>
          <w:szCs w:val="21"/>
        </w:rPr>
        <w:footnoteReference w:id="138"/>
      </w:r>
    </w:p>
    <w:p w14:paraId="6C9B6A07"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AİHM, bu şart açısından yaptığı değerlendirmede; "baskılayıcı toplumsal bir ihtiyaç", bu ihtiyacı ortaya koyan "yeterli ve ilgili gerekçe", müdahale oluşturan "tedbirin orantılılığı", "bireysel yarar ve kamu yararı arasındaki denge" kriterlerini başvuruya konu olaya uygulayarak karar vermekte ve baskılayıcı bir toplumsal ihtiyacın ve kamu yararının bulunmadığına, hükümet tarafından gösterilen gerekçelerin yeterli olmadığına veya yapılan müdahalenin meşru amaçla orantısız olduğuna kanaat getirirse müdahaleyi demokratik toplumda gereksiz görmektedir.</w:t>
      </w:r>
      <w:r w:rsidRPr="006A680F">
        <w:rPr>
          <w:rStyle w:val="DipnotBavurusu"/>
          <w:rFonts w:ascii="Palatino Linotype" w:hAnsi="Palatino Linotype" w:cstheme="minorHAnsi"/>
          <w:i/>
          <w:iCs/>
          <w:sz w:val="21"/>
          <w:szCs w:val="21"/>
        </w:rPr>
        <w:footnoteReference w:id="139"/>
      </w:r>
      <w:r w:rsidRPr="006A680F">
        <w:rPr>
          <w:rStyle w:val="HafifVurgulama"/>
          <w:rFonts w:ascii="Palatino Linotype" w:hAnsi="Palatino Linotype" w:cstheme="minorHAnsi"/>
          <w:i w:val="0"/>
          <w:iCs w:val="0"/>
          <w:color w:val="auto"/>
          <w:sz w:val="21"/>
          <w:szCs w:val="21"/>
        </w:rPr>
        <w:t xml:space="preserve"> Ancak, müdahalenin baskılayıcı toplumsal bir ihtiyaçtan kaynaklandığını ve bu ihtiyacı karşılayan ilgili ve yeterli gerekçelerin gösterildiğini düşünmesi halinde ise başvurulan tedbirin ölçülülüğünü denetlemekte ve bu denetim kapsamında da öngörülen amaca ulaşmak </w:t>
      </w:r>
      <w:r w:rsidRPr="006A680F">
        <w:rPr>
          <w:rStyle w:val="HafifVurgulama"/>
          <w:rFonts w:ascii="Palatino Linotype" w:hAnsi="Palatino Linotype" w:cstheme="minorHAnsi"/>
          <w:i w:val="0"/>
          <w:iCs w:val="0"/>
          <w:color w:val="auto"/>
          <w:sz w:val="21"/>
          <w:szCs w:val="21"/>
        </w:rPr>
        <w:lastRenderedPageBreak/>
        <w:t>için hakka daha az müdahale edecek başka bir alternatif bulunup bulunmadığına bakmakta ve meşru amaca ulaşma gayesinden saparak cezalandırma amacına dönüştüğünü tespit etmesi halinde tedbiri orantısız bulmaktadır.</w:t>
      </w:r>
      <w:r w:rsidRPr="006A680F">
        <w:rPr>
          <w:rStyle w:val="DipnotBavurusu"/>
          <w:rFonts w:ascii="Palatino Linotype" w:hAnsi="Palatino Linotype" w:cstheme="minorHAnsi"/>
          <w:i/>
          <w:iCs/>
          <w:sz w:val="21"/>
          <w:szCs w:val="21"/>
        </w:rPr>
        <w:footnoteReference w:id="140"/>
      </w:r>
      <w:r w:rsidRPr="006A680F">
        <w:rPr>
          <w:rStyle w:val="HafifVurgulama"/>
          <w:rFonts w:ascii="Palatino Linotype" w:hAnsi="Palatino Linotype" w:cstheme="minorHAnsi"/>
          <w:i w:val="0"/>
          <w:iCs w:val="0"/>
          <w:color w:val="auto"/>
          <w:sz w:val="21"/>
          <w:szCs w:val="21"/>
        </w:rPr>
        <w:tab/>
      </w:r>
    </w:p>
    <w:p w14:paraId="213F83E2"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b/>
          <w:bCs/>
          <w:i w:val="0"/>
          <w:iCs w:val="0"/>
          <w:color w:val="auto"/>
          <w:sz w:val="21"/>
          <w:szCs w:val="21"/>
        </w:rPr>
      </w:pPr>
      <w:r w:rsidRPr="006A680F">
        <w:rPr>
          <w:rStyle w:val="HafifVurgulama"/>
          <w:rFonts w:ascii="Palatino Linotype" w:hAnsi="Palatino Linotype" w:cstheme="minorHAnsi"/>
          <w:b/>
          <w:bCs/>
          <w:i w:val="0"/>
          <w:iCs w:val="0"/>
          <w:color w:val="auto"/>
          <w:sz w:val="21"/>
          <w:szCs w:val="21"/>
        </w:rPr>
        <w:t>Yapılan açıklamalardan sonra HSYK kararını değerlendirmek gerekirse;</w:t>
      </w:r>
    </w:p>
    <w:p w14:paraId="1CB339F7" w14:textId="77777777" w:rsidR="00936167" w:rsidRPr="00A40242" w:rsidRDefault="00936167" w:rsidP="00936167">
      <w:pPr>
        <w:spacing w:before="120" w:after="120" w:line="240" w:lineRule="auto"/>
        <w:ind w:firstLine="567"/>
        <w:jc w:val="both"/>
        <w:textAlignment w:val="baseline"/>
        <w:rPr>
          <w:rFonts w:ascii="Palatino Linotype" w:eastAsia="Times New Roman" w:hAnsi="Palatino Linotype" w:cstheme="minorHAnsi"/>
          <w:sz w:val="21"/>
          <w:szCs w:val="21"/>
        </w:rPr>
      </w:pPr>
      <w:r w:rsidRPr="006A680F">
        <w:rPr>
          <w:rStyle w:val="HafifVurgulama"/>
          <w:rFonts w:ascii="Palatino Linotype" w:hAnsi="Palatino Linotype" w:cstheme="minorHAnsi"/>
          <w:b/>
          <w:i w:val="0"/>
          <w:iCs w:val="0"/>
          <w:color w:val="auto"/>
          <w:sz w:val="21"/>
          <w:szCs w:val="21"/>
        </w:rPr>
        <w:t xml:space="preserve">i- </w:t>
      </w:r>
      <w:r w:rsidRPr="006A680F">
        <w:rPr>
          <w:rStyle w:val="HafifVurgulama"/>
          <w:rFonts w:ascii="Palatino Linotype" w:hAnsi="Palatino Linotype" w:cstheme="minorHAnsi"/>
          <w:i w:val="0"/>
          <w:iCs w:val="0"/>
          <w:color w:val="auto"/>
          <w:sz w:val="21"/>
          <w:szCs w:val="21"/>
        </w:rPr>
        <w:t>Yargı mensupları OHAL'e neden olan tehlikenin ortadan kaldırılması amacıyla meslekten çıkarılmışlardır ve bu amaca uymayan ve cezalandırma niyetiyle yapılan işlemler konu bakımından hukuka aykırı olacaktır.</w:t>
      </w:r>
      <w:r w:rsidRPr="00A40242">
        <w:rPr>
          <w:rStyle w:val="HafifVurgulama"/>
          <w:rFonts w:ascii="Palatino Linotype" w:hAnsi="Palatino Linotype" w:cstheme="minorHAnsi"/>
          <w:sz w:val="21"/>
          <w:szCs w:val="21"/>
        </w:rPr>
        <w:t xml:space="preserve"> </w:t>
      </w:r>
      <w:r w:rsidRPr="00A40242">
        <w:rPr>
          <w:rFonts w:ascii="Palatino Linotype" w:eastAsia="Times New Roman" w:hAnsi="Palatino Linotype" w:cstheme="minorHAnsi"/>
          <w:sz w:val="21"/>
          <w:szCs w:val="21"/>
        </w:rPr>
        <w:t xml:space="preserve">Uluslararası Çalışma Örgütü'nün çalışma hayatında ayrımcılığı yasaklayan ve ülkemizin de </w:t>
      </w:r>
      <w:r w:rsidRPr="00A40242">
        <w:rPr>
          <w:rFonts w:ascii="Palatino Linotype" w:hAnsi="Palatino Linotype" w:cstheme="minorHAnsi"/>
          <w:sz w:val="21"/>
          <w:szCs w:val="21"/>
        </w:rPr>
        <w:t>13/12/1966 tarih ve 811 sayılı Kanun'la</w:t>
      </w:r>
      <w:r w:rsidRPr="00A40242">
        <w:rPr>
          <w:rStyle w:val="DipnotBavurusu"/>
          <w:rFonts w:ascii="Palatino Linotype" w:hAnsi="Palatino Linotype" w:cstheme="minorHAnsi"/>
          <w:sz w:val="21"/>
          <w:szCs w:val="21"/>
        </w:rPr>
        <w:footnoteReference w:id="141"/>
      </w:r>
      <w:r w:rsidRPr="00A40242">
        <w:rPr>
          <w:rFonts w:ascii="Palatino Linotype" w:hAnsi="Palatino Linotype" w:cstheme="minorHAnsi"/>
          <w:sz w:val="21"/>
          <w:szCs w:val="21"/>
        </w:rPr>
        <w:t xml:space="preserve"> kabul ettiği 111 No'lu Ayrımcılık (İş ve Meslek) Sözleşmesi</w:t>
      </w:r>
      <w:r w:rsidRPr="00A40242">
        <w:rPr>
          <w:rFonts w:ascii="Palatino Linotype" w:eastAsia="Times New Roman" w:hAnsi="Palatino Linotype" w:cstheme="minorHAnsi"/>
          <w:sz w:val="21"/>
          <w:szCs w:val="21"/>
        </w:rPr>
        <w:t xml:space="preserve">'nin 4. maddesinde; </w:t>
      </w:r>
      <w:r w:rsidRPr="00A40242">
        <w:rPr>
          <w:rFonts w:ascii="Palatino Linotype" w:eastAsia="Times New Roman" w:hAnsi="Palatino Linotype" w:cstheme="minorHAnsi"/>
          <w:i/>
          <w:sz w:val="21"/>
          <w:szCs w:val="21"/>
        </w:rPr>
        <w:t>"Devletin güvenliğine halel getiren faaliyetlerden ötürü muhik sebeplerle zanlı bulunan veya bu faaliyetlere girişen bir şahıs hakkında alınan tedbirler, ilgili kişinin milli tatbikata uygun olarak kurulmuş olan yetkili bir makama başvurma hakkı saklı kalmak şartıyla, ayırım sayılmaz"</w:t>
      </w:r>
      <w:r w:rsidRPr="00A40242">
        <w:rPr>
          <w:rFonts w:ascii="Palatino Linotype" w:eastAsia="Times New Roman" w:hAnsi="Palatino Linotype" w:cstheme="minorHAnsi"/>
          <w:sz w:val="21"/>
          <w:szCs w:val="21"/>
        </w:rPr>
        <w:t xml:space="preserve"> denilmiştir. Maddeden de anlaşılacağı üzere, belli durumlarda kamu görevinden çıkarma hususunda devletlere takdir yetkisi verilmiştir. Ancak, bu yetki sınırsız değildir ve yetkinin hizmet gerekleri ve orantılılık ilkesine uygun olması gerekir. Zira ülkemiz, taraf olduğu Avrupa Sosyal Şartı'nın</w:t>
      </w:r>
      <w:r w:rsidRPr="00A40242">
        <w:rPr>
          <w:rStyle w:val="DipnotBavurusu"/>
          <w:rFonts w:ascii="Palatino Linotype" w:eastAsia="Times New Roman" w:hAnsi="Palatino Linotype" w:cstheme="minorHAnsi"/>
          <w:sz w:val="21"/>
          <w:szCs w:val="21"/>
        </w:rPr>
        <w:footnoteReference w:id="142"/>
      </w:r>
      <w:r w:rsidRPr="00A40242">
        <w:rPr>
          <w:rFonts w:ascii="Palatino Linotype" w:eastAsia="Times New Roman" w:hAnsi="Palatino Linotype" w:cstheme="minorHAnsi"/>
          <w:sz w:val="21"/>
          <w:szCs w:val="21"/>
        </w:rPr>
        <w:t xml:space="preserve"> 1/2. maddesi gereğince; </w:t>
      </w:r>
      <w:r w:rsidRPr="00A40242">
        <w:rPr>
          <w:rFonts w:ascii="Palatino Linotype" w:eastAsia="Times New Roman" w:hAnsi="Palatino Linotype" w:cstheme="minorHAnsi"/>
          <w:bCs/>
          <w:i/>
          <w:sz w:val="21"/>
          <w:szCs w:val="21"/>
        </w:rPr>
        <w:t>"Çalışanların özgürce edindikleri bir işle yaşamlarını sağlama haklarını etkili bir biçimde korumayı</w:t>
      </w:r>
      <w:r w:rsidRPr="00A40242">
        <w:rPr>
          <w:rFonts w:ascii="Palatino Linotype" w:eastAsia="Times New Roman" w:hAnsi="Palatino Linotype" w:cstheme="minorHAnsi"/>
          <w:i/>
          <w:sz w:val="21"/>
          <w:szCs w:val="21"/>
        </w:rPr>
        <w:t>"</w:t>
      </w:r>
      <w:r w:rsidRPr="00A40242">
        <w:rPr>
          <w:rFonts w:ascii="Palatino Linotype" w:eastAsia="Times New Roman" w:hAnsi="Palatino Linotype" w:cstheme="minorHAnsi"/>
          <w:sz w:val="21"/>
          <w:szCs w:val="21"/>
        </w:rPr>
        <w:t xml:space="preserve"> taahhüt etmiştir. Sosyal Şart'ın "</w:t>
      </w:r>
      <w:r w:rsidRPr="00A40242">
        <w:rPr>
          <w:rFonts w:ascii="Palatino Linotype" w:eastAsia="Times New Roman" w:hAnsi="Palatino Linotype" w:cstheme="minorHAnsi"/>
          <w:i/>
          <w:sz w:val="21"/>
          <w:szCs w:val="21"/>
        </w:rPr>
        <w:t>E</w:t>
      </w:r>
      <w:r w:rsidRPr="00A40242">
        <w:rPr>
          <w:rFonts w:ascii="Palatino Linotype" w:eastAsia="Times New Roman" w:hAnsi="Palatino Linotype" w:cstheme="minorHAnsi"/>
          <w:sz w:val="21"/>
          <w:szCs w:val="21"/>
        </w:rPr>
        <w:t xml:space="preserve">" maddesinde ayrımcılık yasağı düzenlenmiş ve </w:t>
      </w:r>
      <w:r w:rsidRPr="00A40242">
        <w:rPr>
          <w:rFonts w:ascii="Palatino Linotype" w:eastAsia="Times New Roman" w:hAnsi="Palatino Linotype" w:cstheme="minorHAnsi"/>
          <w:i/>
          <w:sz w:val="21"/>
          <w:szCs w:val="21"/>
        </w:rPr>
        <w:t>"b</w:t>
      </w:r>
      <w:r w:rsidRPr="00A40242">
        <w:rPr>
          <w:rFonts w:ascii="Palatino Linotype" w:hAnsi="Palatino Linotype" w:cstheme="minorHAnsi"/>
          <w:i/>
          <w:sz w:val="21"/>
          <w:szCs w:val="21"/>
        </w:rPr>
        <w:t>u Şartta yer alan haklardan yararlanma ırk, renk, cinsiyet, dil, din, siyasal ya da başka görüşler, ulusal ya da sosyal köken, sağlık, ulusal bir azınlığa mensubiyet, doğum ya da başka statüler gibi nedenlere dayanan hiç bir ayrımcılığa tâbi olmaksızın sağlanacaktır"</w:t>
      </w:r>
      <w:r w:rsidRPr="00A40242">
        <w:rPr>
          <w:rFonts w:ascii="Palatino Linotype" w:hAnsi="Palatino Linotype" w:cstheme="minorHAnsi"/>
          <w:sz w:val="21"/>
          <w:szCs w:val="21"/>
        </w:rPr>
        <w:t xml:space="preserve"> denilmiş, "</w:t>
      </w:r>
      <w:r w:rsidRPr="00A40242">
        <w:rPr>
          <w:rFonts w:ascii="Palatino Linotype" w:hAnsi="Palatino Linotype" w:cstheme="minorHAnsi"/>
          <w:i/>
          <w:sz w:val="21"/>
          <w:szCs w:val="21"/>
        </w:rPr>
        <w:t>G</w:t>
      </w:r>
      <w:r w:rsidRPr="00A40242">
        <w:rPr>
          <w:rFonts w:ascii="Palatino Linotype" w:hAnsi="Palatino Linotype" w:cstheme="minorHAnsi"/>
          <w:sz w:val="21"/>
          <w:szCs w:val="21"/>
        </w:rPr>
        <w:t xml:space="preserve">" maddesinde de Sosyal Şart‘ta tanınan hakların </w:t>
      </w:r>
      <w:r w:rsidRPr="00A40242">
        <w:rPr>
          <w:rFonts w:ascii="Palatino Linotype" w:eastAsia="Times New Roman" w:hAnsi="Palatino Linotype" w:cstheme="minorHAnsi"/>
          <w:i/>
          <w:sz w:val="21"/>
          <w:szCs w:val="21"/>
        </w:rPr>
        <w:t>"sadece demokratik bir toplumda başkalarının hak ve özgürlüklerinin korunması ya da kamu yararının, ulusal güvenliğin, halkın sağlığının ya da ahlakın korunması için ve ancak yasayla sınırlamaya ve kısıtlamaya tabi tutulabileceği</w:t>
      </w:r>
      <w:r w:rsidRPr="00A40242">
        <w:rPr>
          <w:rFonts w:ascii="Palatino Linotype" w:eastAsia="Times New Roman" w:hAnsi="Palatino Linotype" w:cstheme="minorHAnsi"/>
          <w:sz w:val="21"/>
          <w:szCs w:val="21"/>
        </w:rPr>
        <w:t xml:space="preserve">ni" belirtilmiştir. </w:t>
      </w:r>
    </w:p>
    <w:p w14:paraId="22C36970" w14:textId="77777777" w:rsidR="00936167" w:rsidRPr="00A40242" w:rsidRDefault="00936167" w:rsidP="00936167">
      <w:pPr>
        <w:spacing w:before="120" w:after="120" w:line="240" w:lineRule="auto"/>
        <w:ind w:firstLine="567"/>
        <w:jc w:val="both"/>
        <w:textAlignment w:val="baseline"/>
        <w:rPr>
          <w:rFonts w:ascii="Palatino Linotype" w:eastAsia="Times New Roman" w:hAnsi="Palatino Linotype" w:cstheme="minorHAnsi"/>
          <w:sz w:val="21"/>
          <w:szCs w:val="21"/>
        </w:rPr>
      </w:pPr>
      <w:r w:rsidRPr="00A40242">
        <w:rPr>
          <w:rFonts w:ascii="Palatino Linotype" w:eastAsia="Times New Roman" w:hAnsi="Palatino Linotype" w:cstheme="minorHAnsi"/>
          <w:sz w:val="21"/>
          <w:szCs w:val="21"/>
        </w:rPr>
        <w:t xml:space="preserve">Maddelerden de anlaşılacağı üzere, </w:t>
      </w:r>
      <w:r w:rsidRPr="00A40242">
        <w:rPr>
          <w:rFonts w:ascii="Palatino Linotype" w:eastAsia="Times New Roman" w:hAnsi="Palatino Linotype" w:cstheme="minorHAnsi"/>
          <w:i/>
          <w:sz w:val="21"/>
          <w:szCs w:val="21"/>
        </w:rPr>
        <w:t>“özgür şekilde edinilmiş bir işle yaşamını devam ettirme hakkı”</w:t>
      </w:r>
      <w:r w:rsidRPr="00A40242">
        <w:rPr>
          <w:rFonts w:ascii="Palatino Linotype" w:eastAsia="Times New Roman" w:hAnsi="Palatino Linotype" w:cstheme="minorHAnsi"/>
          <w:sz w:val="21"/>
          <w:szCs w:val="21"/>
        </w:rPr>
        <w:t xml:space="preserve"> aleyhine getirilen tedbirin yalnızca ulusal güvenlik nedeniyle alınması yeterli değildir. Bu tedbirin ayrıca kanuni bir dayanağının bulunması ve demokratik bir toplumda gerekli de olması gerekir. Avrupa Sosyal Haklar Komitesi, </w:t>
      </w:r>
      <w:r w:rsidRPr="00A40242">
        <w:rPr>
          <w:rFonts w:ascii="Palatino Linotype" w:eastAsia="Times New Roman" w:hAnsi="Palatino Linotype" w:cstheme="minorHAnsi"/>
          <w:i/>
          <w:sz w:val="21"/>
          <w:szCs w:val="21"/>
        </w:rPr>
        <w:t>"demokratik toplumda gereklilik"</w:t>
      </w:r>
      <w:r w:rsidRPr="00A40242">
        <w:rPr>
          <w:rFonts w:ascii="Palatino Linotype" w:eastAsia="Times New Roman" w:hAnsi="Palatino Linotype" w:cstheme="minorHAnsi"/>
          <w:sz w:val="21"/>
          <w:szCs w:val="21"/>
        </w:rPr>
        <w:t xml:space="preserve"> kriterini komünist rejimlerde yaptıkları görev nedeniyle kamu görevinden çıkarılan kişilerin durumunu incelerken </w:t>
      </w:r>
      <w:r w:rsidRPr="00A40242">
        <w:rPr>
          <w:rFonts w:ascii="Palatino Linotype" w:eastAsia="Times New Roman" w:hAnsi="Palatino Linotype" w:cstheme="minorHAnsi"/>
          <w:i/>
          <w:sz w:val="21"/>
          <w:szCs w:val="21"/>
        </w:rPr>
        <w:t>"özgür şekilde edinilen iş"</w:t>
      </w:r>
      <w:r w:rsidRPr="00A40242">
        <w:rPr>
          <w:rFonts w:ascii="Palatino Linotype" w:eastAsia="Times New Roman" w:hAnsi="Palatino Linotype" w:cstheme="minorHAnsi"/>
          <w:sz w:val="21"/>
          <w:szCs w:val="21"/>
        </w:rPr>
        <w:t xml:space="preserve"> kavramına uygulamış ve çalışma hayatıyla ilgili getirilecek sınırlamanın kamu düzeni ve ulusal güvenlik alanında sorumlulukları bulunan ya da bu nitelikte görev yapanlar için söz konusu olabileceğini ve bu kişiler dışındakiler için getirilecek kısıtlamaların demokratik toplumda gerekli olmadığını belirtmiştir. Başka bir deyişle, tedbire muhatap olan kişi kamu düzeni ve ulusal güvenlikle ilgili sorumluluklar üstlenip kamu gücü yetkilerini kullanıyorsa, yerine getirdiği görevle öngörülen tedbir arasında illiyet bağı bulunduğundan tedbir demokratik toplumda gerekli kabul edilebilir. Ancak, bu nitelikte olan görevleri yapmayan kişilerin bir daha alınmamak üzere kamu görevinden çıkarılmalarının demokratik toplumda kabulü mümkün değildir.</w:t>
      </w:r>
      <w:r w:rsidRPr="00A40242">
        <w:rPr>
          <w:rStyle w:val="DipnotBavurusu"/>
          <w:rFonts w:ascii="Palatino Linotype" w:eastAsia="Times New Roman" w:hAnsi="Palatino Linotype" w:cstheme="minorHAnsi"/>
          <w:sz w:val="21"/>
          <w:szCs w:val="21"/>
        </w:rPr>
        <w:footnoteReference w:id="143"/>
      </w:r>
    </w:p>
    <w:p w14:paraId="3DB0A3B6" w14:textId="77777777" w:rsidR="00936167" w:rsidRPr="006A680F" w:rsidRDefault="00936167" w:rsidP="00936167">
      <w:pPr>
        <w:spacing w:before="120" w:after="120" w:line="240" w:lineRule="auto"/>
        <w:ind w:firstLine="567"/>
        <w:jc w:val="both"/>
        <w:textAlignment w:val="baseline"/>
        <w:rPr>
          <w:rStyle w:val="HafifVurgulama"/>
          <w:rFonts w:ascii="Palatino Linotype" w:hAnsi="Palatino Linotype" w:cstheme="minorHAnsi"/>
          <w:i w:val="0"/>
          <w:iCs w:val="0"/>
          <w:color w:val="auto"/>
          <w:sz w:val="21"/>
          <w:szCs w:val="21"/>
        </w:rPr>
      </w:pPr>
      <w:r w:rsidRPr="00A40242">
        <w:rPr>
          <w:rFonts w:ascii="Palatino Linotype" w:eastAsia="Times New Roman" w:hAnsi="Palatino Linotype" w:cstheme="minorHAnsi"/>
          <w:sz w:val="21"/>
          <w:szCs w:val="21"/>
        </w:rPr>
        <w:t xml:space="preserve">Aynı şekilde, </w:t>
      </w:r>
      <w:r w:rsidRPr="006A680F">
        <w:rPr>
          <w:rStyle w:val="HafifVurgulama"/>
          <w:rFonts w:ascii="Palatino Linotype" w:hAnsi="Palatino Linotype" w:cstheme="minorHAnsi"/>
          <w:i w:val="0"/>
          <w:iCs w:val="0"/>
          <w:color w:val="auto"/>
          <w:sz w:val="21"/>
          <w:szCs w:val="21"/>
        </w:rPr>
        <w:t xml:space="preserve">Doğu Avrupa ülkelerinde komünist rejim sonrası kamudan çıkarma (temizleme) işlemlerinin hukuk devleti ilkelerine uygun olarak yapılması amacıyla Avrupa Konseyi Parlamenter Meclisi (AKPM) tarafından hazırlanıp, AİHM ve Venedik Komisyonu </w:t>
      </w:r>
      <w:r w:rsidRPr="006A680F">
        <w:rPr>
          <w:rStyle w:val="HafifVurgulama"/>
          <w:rFonts w:ascii="Palatino Linotype" w:hAnsi="Palatino Linotype" w:cstheme="minorHAnsi"/>
          <w:i w:val="0"/>
          <w:iCs w:val="0"/>
          <w:color w:val="auto"/>
          <w:sz w:val="21"/>
          <w:szCs w:val="21"/>
        </w:rPr>
        <w:lastRenderedPageBreak/>
        <w:t>tarafından dikkate alınan "Rehber İlkelere"</w:t>
      </w:r>
      <w:r w:rsidRPr="006A680F">
        <w:rPr>
          <w:rStyle w:val="DipnotBavurusu"/>
          <w:rFonts w:ascii="Palatino Linotype" w:hAnsi="Palatino Linotype" w:cstheme="minorHAnsi"/>
          <w:i/>
          <w:iCs/>
          <w:sz w:val="21"/>
          <w:szCs w:val="21"/>
        </w:rPr>
        <w:footnoteReference w:id="144"/>
      </w:r>
      <w:r w:rsidRPr="006A680F">
        <w:rPr>
          <w:rStyle w:val="HafifVurgulama"/>
          <w:rFonts w:ascii="Palatino Linotype" w:hAnsi="Palatino Linotype" w:cstheme="minorHAnsi"/>
          <w:i w:val="0"/>
          <w:iCs w:val="0"/>
          <w:color w:val="auto"/>
          <w:sz w:val="21"/>
          <w:szCs w:val="21"/>
        </w:rPr>
        <w:t xml:space="preserve"> göre de, kamudan çıkarma tedbirinin kamu düzeni ve ulusal güvenliğin bozulmasında sorumlulukları bulunan ya da bu nitelikte fonksiyon icra eden, yani kamu gücü kullanıp suç işleyen ve insan hakları ihlaline sebep olan kişilerle sınırlı olarak uygulanması gerekir.</w:t>
      </w:r>
      <w:r w:rsidRPr="006A680F">
        <w:rPr>
          <w:rStyle w:val="DipnotBavurusu"/>
          <w:rFonts w:ascii="Palatino Linotype" w:hAnsi="Palatino Linotype" w:cstheme="minorHAnsi"/>
          <w:i/>
          <w:iCs/>
          <w:sz w:val="21"/>
          <w:szCs w:val="21"/>
        </w:rPr>
        <w:footnoteReference w:id="145"/>
      </w:r>
      <w:r w:rsidRPr="006A680F">
        <w:rPr>
          <w:rStyle w:val="HafifVurgulama"/>
          <w:rFonts w:ascii="Palatino Linotype" w:hAnsi="Palatino Linotype" w:cstheme="minorHAnsi"/>
          <w:i w:val="0"/>
          <w:iCs w:val="0"/>
          <w:color w:val="auto"/>
          <w:sz w:val="21"/>
          <w:szCs w:val="21"/>
        </w:rPr>
        <w:t xml:space="preserve"> </w:t>
      </w:r>
    </w:p>
    <w:p w14:paraId="3C855588" w14:textId="77777777" w:rsidR="00936167" w:rsidRPr="006A680F" w:rsidRDefault="00936167" w:rsidP="00936167">
      <w:pPr>
        <w:spacing w:before="120" w:after="120" w:line="240" w:lineRule="auto"/>
        <w:ind w:firstLine="567"/>
        <w:jc w:val="both"/>
        <w:textAlignment w:val="baseline"/>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Somut olay açısından darbe teşebbüsünde bulunan askerler ile teşebbüse yardım eden kişiler bu kapsamda değerlendirilebilirler. Ancak, bunların dışındaki kişilerin ihraç edilip, bir daha kamu görevi yapmaktan yasaklanmaları demokratik toplumda gerekli görülemez. Kişiselleştirme yapılmadan, sadece kişinin görev yaptığı dönem dikkate alınarak ve kişisel kusur araştırılmadan uygulanan kamu görevinden çıkarma tedbiri AİHS'e aykırıdır.</w:t>
      </w:r>
      <w:r w:rsidRPr="006A680F">
        <w:rPr>
          <w:rStyle w:val="DipnotBavurusu"/>
          <w:rFonts w:ascii="Palatino Linotype" w:hAnsi="Palatino Linotype" w:cstheme="minorHAnsi"/>
          <w:i/>
          <w:iCs/>
          <w:sz w:val="21"/>
          <w:szCs w:val="21"/>
        </w:rPr>
        <w:footnoteReference w:id="146"/>
      </w:r>
      <w:r w:rsidRPr="006A680F">
        <w:rPr>
          <w:rStyle w:val="HafifVurgulama"/>
          <w:rFonts w:ascii="Palatino Linotype" w:hAnsi="Palatino Linotype" w:cstheme="minorHAnsi"/>
          <w:i w:val="0"/>
          <w:iCs w:val="0"/>
          <w:color w:val="auto"/>
          <w:sz w:val="21"/>
          <w:szCs w:val="21"/>
        </w:rPr>
        <w:t xml:space="preserve"> Zira kamu görevinden ihraç işlemleri ceza hukukuyla benzerlik gösterdiğinden, ilgililerin kişisel kusuru mutlaka araştırılmalıdır. AİHM, KGB ile hangi düzeyde irtibatlı olduğuna bakılmadan herkesi kapsayan işlemleri AİHS'e aykırı bulduğu gibi,</w:t>
      </w:r>
      <w:r w:rsidRPr="006A680F">
        <w:rPr>
          <w:rStyle w:val="DipnotBavurusu"/>
          <w:rFonts w:ascii="Palatino Linotype" w:hAnsi="Palatino Linotype" w:cstheme="minorHAnsi"/>
          <w:i/>
          <w:iCs/>
          <w:sz w:val="21"/>
          <w:szCs w:val="21"/>
        </w:rPr>
        <w:footnoteReference w:id="147"/>
      </w:r>
      <w:r w:rsidRPr="006A680F">
        <w:rPr>
          <w:rStyle w:val="HafifVurgulama"/>
          <w:rFonts w:ascii="Palatino Linotype" w:hAnsi="Palatino Linotype" w:cstheme="minorHAnsi"/>
          <w:i w:val="0"/>
          <w:iCs w:val="0"/>
          <w:color w:val="auto"/>
          <w:sz w:val="21"/>
          <w:szCs w:val="21"/>
        </w:rPr>
        <w:t xml:space="preserve"> açıkça suç işlememiş ya da insan hakkı ihlaline sebep olmamış kişilerin yalnızca bir derneğe üye olmaları nedeniyle ya da görüş ve fikirleri sebebiyle meslekten çıkarılmalarını da AİHS'e aykırı bulmuş ve AKPM ilke kararlarını hatırlatarak ilgilinin rızasıyla mı, yoksa zorla mı komünist rejimle işbirliği yaptığının araştırılmasını istemiştir.</w:t>
      </w:r>
      <w:r w:rsidRPr="006A680F">
        <w:rPr>
          <w:rStyle w:val="DipnotBavurusu"/>
          <w:rFonts w:ascii="Palatino Linotype" w:hAnsi="Palatino Linotype" w:cstheme="minorHAnsi"/>
          <w:i/>
          <w:iCs/>
          <w:sz w:val="21"/>
          <w:szCs w:val="21"/>
        </w:rPr>
        <w:footnoteReference w:id="148"/>
      </w:r>
      <w:r w:rsidRPr="006A680F">
        <w:rPr>
          <w:rStyle w:val="HafifVurgulama"/>
          <w:rFonts w:ascii="Palatino Linotype" w:hAnsi="Palatino Linotype" w:cstheme="minorHAnsi"/>
          <w:i w:val="0"/>
          <w:iCs w:val="0"/>
          <w:color w:val="auto"/>
          <w:sz w:val="21"/>
          <w:szCs w:val="21"/>
        </w:rPr>
        <w:t xml:space="preserve"> </w:t>
      </w:r>
    </w:p>
    <w:p w14:paraId="622F2922" w14:textId="77777777" w:rsidR="00936167" w:rsidRPr="006A680F" w:rsidRDefault="00936167" w:rsidP="00936167">
      <w:pPr>
        <w:spacing w:before="120" w:after="120" w:line="240" w:lineRule="auto"/>
        <w:ind w:firstLine="567"/>
        <w:jc w:val="both"/>
        <w:textAlignment w:val="baseline"/>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Venedik Komisyonu'da 15 Temmuz sonrası yayımladığı raporunda, yargı mensuplarının meslekten çıkarılmalarıyla ilgili şunları söylemiştir</w:t>
      </w:r>
      <w:r w:rsidRPr="00A40242">
        <w:rPr>
          <w:rStyle w:val="HafifVurgulama"/>
          <w:rFonts w:ascii="Palatino Linotype" w:hAnsi="Palatino Linotype" w:cstheme="minorHAnsi"/>
          <w:color w:val="FF0000"/>
          <w:sz w:val="21"/>
          <w:szCs w:val="21"/>
        </w:rPr>
        <w:t xml:space="preserve"> </w:t>
      </w:r>
      <w:r w:rsidRPr="00A40242">
        <w:rPr>
          <w:rFonts w:ascii="Palatino Linotype" w:hAnsi="Palatino Linotype" w:cstheme="minorHAnsi"/>
          <w:i/>
          <w:sz w:val="21"/>
          <w:szCs w:val="21"/>
        </w:rPr>
        <w:t xml:space="preserve">"…kararda, “FETÖ/PDY” ile bağı olduğu iddia edilen hâkim ve savcıların sahte delil hazırladığı ve yetkilerini muhaliflerini haksız yere suçlamak maksadıyla kötüye kullandığı birçok vakadan bahsedilmektedir. Ancak, ekli listede isimleri geçen binlerce hâkim ve savcı aleyhindeki iddiaları destekleyecek belirli bir delilden bahsedilmemektedir. Böyle bir delil </w:t>
      </w:r>
      <w:r w:rsidRPr="00A40242">
        <w:rPr>
          <w:rFonts w:ascii="Palatino Linotype" w:hAnsi="Palatino Linotype" w:cstheme="minorHAnsi"/>
          <w:i/>
          <w:sz w:val="21"/>
          <w:szCs w:val="21"/>
        </w:rPr>
        <w:lastRenderedPageBreak/>
        <w:t>mevcut olabilir ancak HSYK kararında bahsedilmemiştir ve dolayısıyla da görevden alınan hâkim ve savcılarla Gülen cemaati arasındaki bağın varlığı da objektif olarak tespit edilememektedir. Özetle Venedik Komisyonu, kamu görevlilerinin görevden alınmasıyla sonuçlanan karar verme sürecinin, görevden alımların kişiye özgü gerekçelere dayanmaması bakımından kusurlu olduğu ve bu suretle bu kararlarla ilgili olarak anlamlı bir geriye dönük yargı denetimi yapılmasının neredeyse imkânsız kılındığı sonucuna varmakta, bir hâkimin görevden alınmasını emreden her bir kararın, bireye özgü alınması ve gerekçelendirilmesi gerektiğini, gerçekliği kanıtlanabilir delillere dayalı olması gerektiğini ve HSYK nezdindeki prosedürde en azından asgari kanuni usullere uyulması gerektiğini vurgulamaktadır</w:t>
      </w:r>
      <w:r w:rsidRPr="00A40242">
        <w:rPr>
          <w:rStyle w:val="HafifVurgulama"/>
          <w:rFonts w:ascii="Palatino Linotype" w:hAnsi="Palatino Linotype" w:cstheme="minorHAnsi"/>
          <w:sz w:val="21"/>
          <w:szCs w:val="21"/>
        </w:rPr>
        <w:t xml:space="preserve">" </w:t>
      </w:r>
      <w:r w:rsidRPr="006A680F">
        <w:rPr>
          <w:rStyle w:val="HafifVurgulama"/>
          <w:rFonts w:ascii="Palatino Linotype" w:hAnsi="Palatino Linotype" w:cstheme="minorHAnsi"/>
          <w:i w:val="0"/>
          <w:iCs w:val="0"/>
          <w:color w:val="auto"/>
          <w:sz w:val="21"/>
          <w:szCs w:val="21"/>
        </w:rPr>
        <w:t>demiştir.</w:t>
      </w:r>
      <w:r w:rsidRPr="006A680F">
        <w:rPr>
          <w:rStyle w:val="DipnotBavurusu"/>
          <w:rFonts w:ascii="Palatino Linotype" w:hAnsi="Palatino Linotype" w:cstheme="minorHAnsi"/>
          <w:i/>
          <w:iCs/>
          <w:sz w:val="21"/>
          <w:szCs w:val="21"/>
        </w:rPr>
        <w:t xml:space="preserve"> </w:t>
      </w:r>
      <w:r w:rsidRPr="006A680F">
        <w:rPr>
          <w:rStyle w:val="DipnotBavurusu"/>
          <w:rFonts w:ascii="Palatino Linotype" w:hAnsi="Palatino Linotype" w:cstheme="minorHAnsi"/>
          <w:i/>
          <w:iCs/>
          <w:sz w:val="21"/>
          <w:szCs w:val="21"/>
        </w:rPr>
        <w:footnoteReference w:id="149"/>
      </w:r>
      <w:r w:rsidRPr="006A680F">
        <w:rPr>
          <w:rStyle w:val="HafifVurgulama"/>
          <w:rFonts w:ascii="Palatino Linotype" w:hAnsi="Palatino Linotype" w:cstheme="minorHAnsi"/>
          <w:i w:val="0"/>
          <w:iCs w:val="0"/>
          <w:color w:val="auto"/>
          <w:sz w:val="21"/>
          <w:szCs w:val="21"/>
        </w:rPr>
        <w:t xml:space="preserve"> </w:t>
      </w:r>
      <w:r w:rsidRPr="006A680F">
        <w:rPr>
          <w:rFonts w:ascii="Palatino Linotype" w:hAnsi="Palatino Linotype" w:cstheme="minorHAnsi"/>
          <w:i/>
          <w:iCs/>
          <w:sz w:val="21"/>
          <w:szCs w:val="21"/>
        </w:rPr>
        <w:t xml:space="preserve"> </w:t>
      </w:r>
    </w:p>
    <w:p w14:paraId="4649D850" w14:textId="77777777" w:rsidR="00936167" w:rsidRPr="006A680F" w:rsidRDefault="00936167" w:rsidP="00936167">
      <w:pPr>
        <w:spacing w:before="120" w:after="120" w:line="240" w:lineRule="auto"/>
        <w:ind w:firstLine="567"/>
        <w:jc w:val="both"/>
        <w:rPr>
          <w:rStyle w:val="HafifVurgulama"/>
          <w:rFonts w:ascii="Palatino Linotype" w:hAnsi="Palatino Linotype" w:cstheme="minorHAnsi"/>
          <w:i w:val="0"/>
          <w:iCs w:val="0"/>
          <w:color w:val="auto"/>
          <w:sz w:val="21"/>
          <w:szCs w:val="21"/>
        </w:rPr>
      </w:pPr>
      <w:r w:rsidRPr="006A680F">
        <w:rPr>
          <w:rStyle w:val="HafifVurgulama"/>
          <w:rFonts w:ascii="Palatino Linotype" w:hAnsi="Palatino Linotype" w:cstheme="minorHAnsi"/>
          <w:i w:val="0"/>
          <w:iCs w:val="0"/>
          <w:color w:val="auto"/>
          <w:sz w:val="21"/>
          <w:szCs w:val="21"/>
        </w:rPr>
        <w:t>Kısaca, kendisine kusur veya suç isnadı yapılamayan bir kişinin sadece belli bir görevde bulunuyor olması hakkında işlem yapılmasını haklı göstermeyeceği gibi böyle bir işlem OHAL'in varlık sebebiyle de bağdaşmaz.</w:t>
      </w:r>
      <w:r w:rsidRPr="006A680F">
        <w:rPr>
          <w:rStyle w:val="DipnotBavurusu"/>
          <w:rFonts w:ascii="Palatino Linotype" w:hAnsi="Palatino Linotype" w:cstheme="minorHAnsi"/>
          <w:i/>
          <w:iCs/>
          <w:sz w:val="21"/>
          <w:szCs w:val="21"/>
        </w:rPr>
        <w:footnoteReference w:id="150"/>
      </w:r>
    </w:p>
    <w:p w14:paraId="19FC628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6A680F">
        <w:rPr>
          <w:rStyle w:val="HafifVurgulama"/>
          <w:rFonts w:ascii="Palatino Linotype" w:hAnsi="Palatino Linotype" w:cstheme="minorHAnsi"/>
          <w:i w:val="0"/>
          <w:iCs w:val="0"/>
          <w:color w:val="auto"/>
          <w:sz w:val="21"/>
          <w:szCs w:val="21"/>
        </w:rPr>
        <w:t>HSYK kararında cezaların şahsiliği ve bireyselleştirme ilkelerine riayet edilmemiş olup anayasal düzeni ortadan kaldırmayı hedefleyen bir terör örgütü ve yapısı</w:t>
      </w:r>
      <w:r w:rsidRPr="00A40242">
        <w:rPr>
          <w:rFonts w:ascii="Palatino Linotype" w:hAnsi="Palatino Linotype" w:cstheme="minorHAnsi"/>
          <w:sz w:val="21"/>
          <w:szCs w:val="21"/>
        </w:rPr>
        <w:t xml:space="preserve"> tanımlanmasına rağmen, meslekten çıkarılanlarla bu örgütün nasıl bir ilişki içinde olduğu ortaya konulamamıştır. İlgililer hakkında hem kişisel hem de sosyal olarak çok ağır sonuçlar doğuran bu kararı alan HSYK'nın kendisini sübuta götürecek olayları ve buna ilişkin delilleri açıkça ortaya koyması, bunların kişilerle olan ilişkisini irdeleyip kararı okuyan herkesi tatmin edici bir sonuca ulaşması beklenirdi. Ancak, HSYK iç hukukta yeri olmayan sübjektif, soyut ifade ve değerlendirmelerle karar vermiştir.</w:t>
      </w:r>
      <w:r w:rsidRPr="00A40242">
        <w:rPr>
          <w:rStyle w:val="DipnotBavurusu"/>
          <w:rFonts w:ascii="Palatino Linotype" w:hAnsi="Palatino Linotype" w:cstheme="minorHAnsi"/>
          <w:sz w:val="21"/>
          <w:szCs w:val="21"/>
        </w:rPr>
        <w:footnoteReference w:id="151"/>
      </w:r>
    </w:p>
    <w:p w14:paraId="025CE3B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Kararda, hakkında disiplin soruşturması yapılan bir hâkimle ilgili; </w:t>
      </w:r>
      <w:r w:rsidRPr="00A40242">
        <w:rPr>
          <w:rFonts w:ascii="Palatino Linotype" w:hAnsi="Palatino Linotype" w:cstheme="minorHAnsi"/>
          <w:i/>
          <w:sz w:val="21"/>
          <w:szCs w:val="21"/>
        </w:rPr>
        <w:t>"atılı suçlar nedeniyle soruşturma dosyalarındaki deliller incelenmeden suç ve deliller ile her bir şüpheli yönünden ayrı ayrı kişiselleştirme yapılmaksızın, genel geçer ve birbirlerinin kopyası niteliğindeki gerekçelerle, tutuklu kişilerin tahliyesine karar verdiği"</w:t>
      </w:r>
      <w:r w:rsidRPr="00A40242">
        <w:rPr>
          <w:rFonts w:ascii="Palatino Linotype" w:hAnsi="Palatino Linotype" w:cstheme="minorHAnsi"/>
          <w:sz w:val="21"/>
          <w:szCs w:val="21"/>
        </w:rPr>
        <w:t xml:space="preserve"> belirtilmiş ve bu husus HSYK tarafından soruşturmaya gerekçe yapılmış, ancak kendisi hiçbir delile başvurmadan, yargı mensuplarına isnat edilen suçlamalarla ilgili kişiselleştirme yapmadan, başka bir ifadeyle gerekçede belirtilen hususların hangisinin hangi hâkim-savcıyla ilgili olduğunu göstermeden, tıpkı kararında belirttiği şablon ifadelerle binlerce kişinin meslekten çıkarılmasına karar vermiş ve kendisiyle çelişmiştir. </w:t>
      </w:r>
    </w:p>
    <w:p w14:paraId="40986A99" w14:textId="77777777" w:rsidR="00936167" w:rsidRPr="00A40242" w:rsidRDefault="00936167" w:rsidP="00936167">
      <w:pPr>
        <w:spacing w:before="120" w:after="120" w:line="240" w:lineRule="auto"/>
        <w:ind w:firstLine="567"/>
        <w:jc w:val="both"/>
        <w:rPr>
          <w:rStyle w:val="DipnotBavurusu1"/>
          <w:rFonts w:ascii="Palatino Linotype" w:hAnsi="Palatino Linotype" w:cstheme="minorHAnsi"/>
          <w:sz w:val="21"/>
          <w:szCs w:val="21"/>
        </w:rPr>
      </w:pPr>
      <w:r w:rsidRPr="00A40242">
        <w:rPr>
          <w:rFonts w:ascii="Palatino Linotype" w:hAnsi="Palatino Linotype" w:cstheme="minorHAnsi"/>
          <w:sz w:val="21"/>
          <w:szCs w:val="21"/>
        </w:rPr>
        <w:t>Yine kararda, yargı mensuplarının hiç birine darbeye teşebbüs eylemine iştirak ettiklerine ilişkin bir suçlama yöneltilmemesine rağmen, sanki darbe teşebbüsünde bu kişiler bulunmuş gibi teşebbüsün devam ettiği ve bu eylemi kimlerin gerçekleştirdiğinin bile tam olarak anlaşılamadığı 16 Temmuz 2016 tarihinde açığa alınıp, OHAL KHK'sine dayanılarak ihraç edilmişlerdir. Başka bir ifadeyle, hâkim-savcıların ihraç nedeni OHAL'e yol açan tehlikeyi bertaraf etmek değildir ve bu tehlikenin doğmasına hiçbir katkısı bulunmayan ve insan hakları ihlallerine neden olmayan kişiler düşünce ve kanaatleri sebebiyle ve cezai bir isnatta bulunulmasına rağmen kusur durumları hiç sorgulanmadan salt yaptıkları görev nedeniyle mesleklerinden çıkarılmışlardır. Söz konusu tedbir insan hakları ve demokrasiye tehdit oluşturan eylemleri gerçekleştiren kişilerle sınırlı uygulanmak yerine, meşru amaca ulaşma hedefinden çıkıp, cezalandırma amacına dönüştüğünden ölçülü olmadığı gibi demokratik toplum düzeninin gereklerine de aykırıdır.</w:t>
      </w:r>
      <w:r w:rsidRPr="00A40242">
        <w:rPr>
          <w:rStyle w:val="DipnotBavurusu1"/>
          <w:rFonts w:ascii="Palatino Linotype" w:hAnsi="Palatino Linotype" w:cstheme="minorHAnsi"/>
          <w:sz w:val="21"/>
          <w:szCs w:val="21"/>
        </w:rPr>
        <w:t xml:space="preserve"> </w:t>
      </w:r>
      <w:r w:rsidRPr="00A40242">
        <w:rPr>
          <w:rStyle w:val="DipnotBavurusu1"/>
          <w:rFonts w:ascii="Palatino Linotype" w:hAnsi="Palatino Linotype" w:cstheme="minorHAnsi"/>
          <w:sz w:val="21"/>
          <w:szCs w:val="21"/>
        </w:rPr>
        <w:footnoteReference w:id="152"/>
      </w:r>
    </w:p>
    <w:p w14:paraId="323E533D" w14:textId="77777777" w:rsidR="00936167" w:rsidRPr="006A680F" w:rsidRDefault="00936167" w:rsidP="00936167">
      <w:pPr>
        <w:spacing w:before="120" w:after="120" w:line="240" w:lineRule="auto"/>
        <w:ind w:firstLine="567"/>
        <w:jc w:val="both"/>
        <w:rPr>
          <w:rStyle w:val="DipnotBavurusu1"/>
          <w:rFonts w:ascii="Palatino Linotype" w:hAnsi="Palatino Linotype" w:cstheme="minorHAnsi"/>
          <w:vertAlign w:val="baseline"/>
        </w:rPr>
      </w:pPr>
      <w:r w:rsidRPr="006A680F">
        <w:rPr>
          <w:rStyle w:val="DipnotBavurusu1"/>
          <w:rFonts w:ascii="Palatino Linotype" w:hAnsi="Palatino Linotype" w:cstheme="minorHAnsi"/>
          <w:vertAlign w:val="baseline"/>
        </w:rPr>
        <w:lastRenderedPageBreak/>
        <w:t xml:space="preserve">ii. </w:t>
      </w:r>
      <w:r w:rsidRPr="006A680F">
        <w:rPr>
          <w:rStyle w:val="DipnotBavurusu1"/>
          <w:rFonts w:ascii="Palatino Linotype" w:hAnsi="Palatino Linotype" w:cstheme="minorHAnsi"/>
          <w:i/>
          <w:vertAlign w:val="baseline"/>
        </w:rPr>
        <w:t>"Sivil ölüm"</w:t>
      </w:r>
      <w:r w:rsidRPr="006A680F">
        <w:rPr>
          <w:rStyle w:val="DipnotBavurusu1"/>
          <w:rFonts w:ascii="Palatino Linotype" w:hAnsi="Palatino Linotype" w:cstheme="minorHAnsi"/>
          <w:vertAlign w:val="baseline"/>
        </w:rPr>
        <w:t xml:space="preserve"> olarak ta ifade edilen ve meslekten çıkarılanların bir daha kamu hizmetinde istihdamlarını yasaklayıp, bunun bir sonucu olarak özel sektörde çalışmalarını da engelleyen düzenlemelerin meşru amaçla ilgisi yoktur ve açıkça AİHS'e aykırıdır.</w:t>
      </w:r>
      <w:r w:rsidRPr="006A680F">
        <w:rPr>
          <w:rStyle w:val="DipnotBavurusu"/>
          <w:rFonts w:ascii="Palatino Linotype" w:hAnsi="Palatino Linotype" w:cstheme="minorHAnsi"/>
          <w:vertAlign w:val="baseline"/>
        </w:rPr>
        <w:footnoteReference w:id="153"/>
      </w:r>
      <w:r w:rsidRPr="006A680F">
        <w:rPr>
          <w:rStyle w:val="DipnotBavurusu1"/>
          <w:rFonts w:ascii="Palatino Linotype" w:hAnsi="Palatino Linotype" w:cstheme="minorHAnsi"/>
          <w:vertAlign w:val="baseline"/>
        </w:rPr>
        <w:t xml:space="preserve"> AİHM, kamu görevinde istihdamın tamamen yasaklanmasının haklı görülebileceği durumlarda dahi ilgililerin tüm çalışma imkânlarının ellerinden alınmasını kabul edilmez bulmaktadır.</w:t>
      </w:r>
      <w:r w:rsidRPr="006A680F">
        <w:rPr>
          <w:rStyle w:val="DipnotBavurusu"/>
          <w:rFonts w:ascii="Palatino Linotype" w:hAnsi="Palatino Linotype" w:cstheme="minorHAnsi"/>
          <w:vertAlign w:val="baseline"/>
        </w:rPr>
        <w:footnoteReference w:id="154"/>
      </w:r>
    </w:p>
    <w:p w14:paraId="1C0C2BF8" w14:textId="77777777" w:rsidR="00936167" w:rsidRPr="00A40242" w:rsidRDefault="00936167" w:rsidP="00936167">
      <w:pPr>
        <w:pStyle w:val="GvdeMetniGirintisi"/>
        <w:shd w:val="clear" w:color="auto" w:fill="FFFFFF"/>
        <w:spacing w:before="120" w:line="240" w:lineRule="auto"/>
        <w:ind w:left="0" w:firstLine="567"/>
        <w:jc w:val="both"/>
        <w:rPr>
          <w:rFonts w:ascii="Palatino Linotype" w:hAnsi="Palatino Linotype" w:cstheme="minorHAnsi"/>
          <w:color w:val="000000"/>
          <w:sz w:val="21"/>
          <w:szCs w:val="21"/>
        </w:rPr>
      </w:pPr>
      <w:r w:rsidRPr="006A680F">
        <w:rPr>
          <w:rStyle w:val="DipnotBavurusu1"/>
          <w:rFonts w:ascii="Palatino Linotype" w:hAnsi="Palatino Linotype" w:cstheme="minorHAnsi"/>
          <w:vertAlign w:val="baseline"/>
        </w:rPr>
        <w:t xml:space="preserve">AYM'de, TCK'nın 53. maddesinde belirtilen süreler geçse bile; milli savunmaya, Devlet sırlarına ve kamu sağlığına karşı suçlar ile casusluk suçundan mahkûm olanların belli meslek ve görevleri yapmalarını engelleyen 5728 sayılı Kanun'un 17 ayrı maddesini iptal etmiş ve kararda şu hususlara yer vermiştir; </w:t>
      </w:r>
      <w:r w:rsidRPr="006A680F">
        <w:rPr>
          <w:rStyle w:val="DipnotBavurusu1"/>
          <w:rFonts w:ascii="Palatino Linotype" w:hAnsi="Palatino Linotype" w:cstheme="minorHAnsi"/>
          <w:i/>
          <w:vertAlign w:val="baseline"/>
        </w:rPr>
        <w:t>"</w:t>
      </w:r>
      <w:r w:rsidRPr="006A680F">
        <w:rPr>
          <w:rFonts w:ascii="Palatino Linotype" w:hAnsi="Palatino Linotype" w:cstheme="minorHAnsi"/>
          <w:i/>
          <w:color w:val="000000"/>
        </w:rPr>
        <w:t>…</w:t>
      </w:r>
      <w:r w:rsidRPr="00A40242">
        <w:rPr>
          <w:rFonts w:ascii="Palatino Linotype" w:hAnsi="Palatino Linotype" w:cstheme="minorHAnsi"/>
          <w:i/>
          <w:color w:val="000000"/>
          <w:sz w:val="21"/>
          <w:szCs w:val="21"/>
        </w:rPr>
        <w:t>ceza hukuku alanında olduğu gibi hak yoksunluğu getiren iptal davasına konu düzenlemelerde de kuralların, önleme ve iyileştirme amaçlarına uygun olarak ölçülü, adil ve orantılı olması gerekir. Yasa koyucunun hak yoksunluklarını belirlerken takdir hakkı çerçevesindeki tercih serbestisinin de Anayasa'ya uygun olması gerektiği açıktır. Dava konusu düzenlemeler, meslek veya görevlerin özellikleri, suçların niteliği, bu suçlara verilen cezalar ve cezaların süresi, kasıtla veya taksirle işlenip işlenmediğine bakılmaması ve bir kademelendirme de yapılmaması ve bu suçlardan mahkûm olanların belirli meslekleri ve görevleri sürekli olarak icra edememeleri, işledikleri suçlara göre adaletli ve eylemle orantılı olmayan ölçüsüz bir hak yoksunluğuna yol açması nedeniyle Anayasa'nın 2. maddesinde belirtilen 'Hukuk Devleti' ilkesine aykırıdır. İptali gerekir."</w:t>
      </w:r>
      <w:r w:rsidRPr="00A40242">
        <w:rPr>
          <w:rStyle w:val="DipnotBavurusu"/>
          <w:rFonts w:ascii="Palatino Linotype" w:hAnsi="Palatino Linotype" w:cstheme="minorHAnsi"/>
          <w:color w:val="000000"/>
          <w:sz w:val="21"/>
          <w:szCs w:val="21"/>
        </w:rPr>
        <w:footnoteReference w:id="155"/>
      </w:r>
      <w:r w:rsidRPr="00A40242">
        <w:rPr>
          <w:rFonts w:ascii="Palatino Linotype" w:hAnsi="Palatino Linotype" w:cstheme="minorHAnsi"/>
          <w:color w:val="000000"/>
          <w:sz w:val="21"/>
          <w:szCs w:val="21"/>
        </w:rPr>
        <w:t xml:space="preserve"> Karardan da anlaşılacağı üzere, AYM hakkında verilen mahkûmiyet hükmü kesinleşen kişiler için getirilen süresiz hak yoksunluğu</w:t>
      </w:r>
      <w:r>
        <w:rPr>
          <w:rFonts w:ascii="Palatino Linotype" w:hAnsi="Palatino Linotype" w:cstheme="minorHAnsi"/>
          <w:color w:val="000000"/>
          <w:sz w:val="21"/>
          <w:szCs w:val="21"/>
        </w:rPr>
        <w:t>nu</w:t>
      </w:r>
      <w:r w:rsidRPr="00A40242">
        <w:rPr>
          <w:rFonts w:ascii="Palatino Linotype" w:hAnsi="Palatino Linotype" w:cstheme="minorHAnsi"/>
          <w:color w:val="000000"/>
          <w:sz w:val="21"/>
          <w:szCs w:val="21"/>
        </w:rPr>
        <w:t xml:space="preserve"> Anayasa'ya aykırı bulmuştur. Ceza mahkûmiyeti alan bir kişi için getirilen sınırsız hak yoksunluğunun dahi hukuk devletine aykırı bulunduğu düşünüldüğünde, hakkında hiçbir soruşturma bulunmayan kişilerin meslekten çıkarılıp kamu hizmetine girmelerinin tamamen yasaklanmasının ölçülü olduğunu ve hukuk devleti ilkesiyle bağdaştığını söylemek mümkün değildir.</w:t>
      </w:r>
      <w:r w:rsidRPr="00A40242">
        <w:rPr>
          <w:rStyle w:val="DipnotBavurusu"/>
          <w:rFonts w:ascii="Palatino Linotype" w:hAnsi="Palatino Linotype" w:cstheme="minorHAnsi"/>
          <w:color w:val="000000"/>
          <w:sz w:val="21"/>
          <w:szCs w:val="21"/>
        </w:rPr>
        <w:footnoteReference w:id="156"/>
      </w:r>
      <w:r w:rsidRPr="00A40242">
        <w:rPr>
          <w:rFonts w:ascii="Palatino Linotype" w:hAnsi="Palatino Linotype" w:cstheme="minorHAnsi"/>
          <w:color w:val="000000"/>
          <w:sz w:val="21"/>
          <w:szCs w:val="21"/>
        </w:rPr>
        <w:t xml:space="preserve"> </w:t>
      </w:r>
    </w:p>
    <w:p w14:paraId="19FF96A6" w14:textId="77777777" w:rsidR="00936167" w:rsidRPr="00A40242" w:rsidRDefault="00936167" w:rsidP="00936167">
      <w:pPr>
        <w:pStyle w:val="GvdeMetniGirintisi"/>
        <w:shd w:val="clear" w:color="auto" w:fill="FFFFFF"/>
        <w:spacing w:before="120" w:line="240" w:lineRule="auto"/>
        <w:ind w:left="0" w:firstLine="567"/>
        <w:jc w:val="both"/>
        <w:rPr>
          <w:rFonts w:ascii="Palatino Linotype" w:hAnsi="Palatino Linotype" w:cstheme="minorHAnsi"/>
          <w:sz w:val="21"/>
          <w:szCs w:val="21"/>
        </w:rPr>
      </w:pPr>
      <w:r w:rsidRPr="00A40242">
        <w:rPr>
          <w:rFonts w:ascii="Palatino Linotype" w:hAnsi="Palatino Linotype" w:cstheme="minorHAnsi"/>
          <w:color w:val="000000"/>
          <w:sz w:val="21"/>
          <w:szCs w:val="21"/>
        </w:rPr>
        <w:t>Ayrıca, zaman bakımından da kamu hizmetinden yasaklılık tedbiri ile bu tedbire neden olan tehlike arasında illiyet bağı olmalıdır. Zira AİHM, tehlikenin geçmesinden sonra yasaklılığın devam ettirilmesini demokratik bir toplumda gerekli görmemektedir.</w:t>
      </w:r>
      <w:r w:rsidRPr="00A40242">
        <w:rPr>
          <w:rStyle w:val="DipnotBavurusu"/>
          <w:rFonts w:ascii="Palatino Linotype" w:hAnsi="Palatino Linotype" w:cstheme="minorHAnsi"/>
          <w:color w:val="000000"/>
          <w:sz w:val="21"/>
          <w:szCs w:val="21"/>
        </w:rPr>
        <w:footnoteReference w:id="157"/>
      </w:r>
      <w:r w:rsidRPr="00A40242">
        <w:rPr>
          <w:rFonts w:ascii="Palatino Linotype" w:hAnsi="Palatino Linotype" w:cstheme="minorHAnsi"/>
          <w:color w:val="000000"/>
          <w:sz w:val="21"/>
          <w:szCs w:val="21"/>
        </w:rPr>
        <w:t xml:space="preserve"> Benzer düzenlemeye, hapis cezasının kanuni sonucu olarak verilen ve </w:t>
      </w:r>
      <w:r w:rsidRPr="00A40242">
        <w:rPr>
          <w:rFonts w:ascii="Palatino Linotype" w:hAnsi="Palatino Linotype" w:cstheme="minorHAnsi"/>
          <w:i/>
          <w:color w:val="000000"/>
          <w:sz w:val="21"/>
          <w:szCs w:val="21"/>
        </w:rPr>
        <w:t>"belli hakları kullanmaktan yoksun bırakılmayı"</w:t>
      </w:r>
      <w:r w:rsidRPr="00A40242">
        <w:rPr>
          <w:rFonts w:ascii="Palatino Linotype" w:hAnsi="Palatino Linotype" w:cstheme="minorHAnsi"/>
          <w:color w:val="000000"/>
          <w:sz w:val="21"/>
          <w:szCs w:val="21"/>
        </w:rPr>
        <w:t xml:space="preserve"> düzenleyen TCK'nın 53. maddesinin gerekçesinde de yer verilmiş ve şöyle denilmiştir; </w:t>
      </w:r>
      <w:r w:rsidRPr="00A40242">
        <w:rPr>
          <w:rFonts w:ascii="Palatino Linotype" w:hAnsi="Palatino Linotype" w:cstheme="minorHAnsi"/>
          <w:i/>
          <w:sz w:val="21"/>
          <w:szCs w:val="21"/>
        </w:rPr>
        <w:t>"…i</w:t>
      </w:r>
      <w:r w:rsidRPr="00A40242">
        <w:rPr>
          <w:rFonts w:ascii="Palatino Linotype" w:hAnsi="Palatino Linotype" w:cstheme="minorHAnsi"/>
          <w:i/>
          <w:sz w:val="21"/>
          <w:szCs w:val="21"/>
          <w:shd w:val="clear" w:color="auto" w:fill="FFFFFF"/>
        </w:rPr>
        <w:t>şlediği suç dolayısıyla toplumda kişiye karşı duyulan güven duygusunun sarsıldığı, bu sebeple, suçlu kişinin özellikle güven ilişkisinin varlığını gerekli kılan belli hakların kullanmaktan yoksun bırakıldığı ve madde metninde, işlediği suç dolayısıyla kişinin hangi hakları kullanmaktan yoksun bırakılacağının belirlenmiş olduğu; ancak, </w:t>
      </w:r>
      <w:r w:rsidRPr="006A680F">
        <w:rPr>
          <w:rStyle w:val="Gl"/>
          <w:rFonts w:ascii="Palatino Linotype" w:hAnsi="Palatino Linotype" w:cstheme="minorHAnsi"/>
          <w:b w:val="0"/>
          <w:bCs w:val="0"/>
          <w:i/>
          <w:sz w:val="21"/>
          <w:szCs w:val="21"/>
          <w:bdr w:val="none" w:sz="0" w:space="0" w:color="auto" w:frame="1"/>
          <w:shd w:val="clear" w:color="auto" w:fill="FFFFFF"/>
        </w:rPr>
        <w:t>bu hak yoksunluğunun süresiz olmadığı, cezalandırılmakla güdülen asıl amacın, işlediği suçtan dolayı kişinin etkin pişmanlık duymasını sağlayıp tekrar topluma kazandırılması olduğuna göre, suça bağlı hak yoksunluklarının da belli bir süreyle</w:t>
      </w:r>
      <w:r w:rsidRPr="006A680F">
        <w:rPr>
          <w:rFonts w:ascii="Palatino Linotype" w:hAnsi="Palatino Linotype" w:cstheme="minorHAnsi"/>
          <w:b/>
          <w:bCs/>
          <w:i/>
          <w:sz w:val="21"/>
          <w:szCs w:val="21"/>
          <w:shd w:val="clear" w:color="auto" w:fill="FFFFFF"/>
        </w:rPr>
        <w:t> </w:t>
      </w:r>
      <w:r w:rsidRPr="006A680F">
        <w:rPr>
          <w:rStyle w:val="Gl"/>
          <w:rFonts w:ascii="Palatino Linotype" w:hAnsi="Palatino Linotype" w:cstheme="minorHAnsi"/>
          <w:b w:val="0"/>
          <w:bCs w:val="0"/>
          <w:i/>
          <w:sz w:val="21"/>
          <w:szCs w:val="21"/>
          <w:bdr w:val="none" w:sz="0" w:space="0" w:color="auto" w:frame="1"/>
          <w:shd w:val="clear" w:color="auto" w:fill="FFFFFF"/>
        </w:rPr>
        <w:t>sınırlandırılması gerektiğinden</w:t>
      </w:r>
      <w:r w:rsidRPr="00A40242">
        <w:rPr>
          <w:rFonts w:ascii="Palatino Linotype" w:hAnsi="Palatino Linotype" w:cstheme="minorHAnsi"/>
          <w:b/>
          <w:i/>
          <w:sz w:val="21"/>
          <w:szCs w:val="21"/>
          <w:shd w:val="clear" w:color="auto" w:fill="FFFFFF"/>
        </w:rPr>
        <w:t> </w:t>
      </w:r>
      <w:r w:rsidRPr="00A40242">
        <w:rPr>
          <w:rFonts w:ascii="Palatino Linotype" w:hAnsi="Palatino Linotype" w:cstheme="minorHAnsi"/>
          <w:i/>
          <w:sz w:val="21"/>
          <w:szCs w:val="21"/>
          <w:shd w:val="clear" w:color="auto" w:fill="FFFFFF"/>
        </w:rPr>
        <w:t xml:space="preserve">madde metninde söz </w:t>
      </w:r>
      <w:r w:rsidRPr="00A40242">
        <w:rPr>
          <w:rFonts w:ascii="Palatino Linotype" w:hAnsi="Palatino Linotype" w:cstheme="minorHAnsi"/>
          <w:i/>
          <w:sz w:val="21"/>
          <w:szCs w:val="21"/>
          <w:shd w:val="clear" w:color="auto" w:fill="FFFFFF"/>
        </w:rPr>
        <w:lastRenderedPageBreak/>
        <w:t>konusu hak yoksunluklarının mahkum olunan cezanın infazı tamamlanıncaya kadar devam etmesi öngörüldüğü; böylece, kişinin mahkum olduğu cezanın infazının gereklerine uygun davranarak bunun tamamlanmasıyla kendisinin tekrar güven duyulan bir kişi olduğu konusunda topluma da bir mesaj verdiği; bu bakımdan hak yoksunluklarının en geç cezanın infazının tamamlanması aşamasına kadar devam etmesi, suç ve ceza politikasıyla güdülen amaçlara daha uygun düşeceği belirtilmiş olup; yeni Türk Ceza Kanunu ile getirilen sistemde süresiz bir hak yoksunluğu söz konusu olmadığı için, yasaklanmış hakların geri verilmesinden artık söz edilemeyecektir".</w:t>
      </w:r>
      <w:r w:rsidRPr="00A40242">
        <w:rPr>
          <w:rStyle w:val="DipnotBavurusu"/>
          <w:rFonts w:ascii="Palatino Linotype" w:hAnsi="Palatino Linotype" w:cstheme="minorHAnsi"/>
          <w:sz w:val="21"/>
          <w:szCs w:val="21"/>
          <w:shd w:val="clear" w:color="auto" w:fill="FFFFFF"/>
        </w:rPr>
        <w:footnoteReference w:id="158"/>
      </w:r>
    </w:p>
    <w:p w14:paraId="7D4311B4" w14:textId="77777777" w:rsidR="00936167" w:rsidRPr="00A40242" w:rsidRDefault="00936167" w:rsidP="00936167">
      <w:pPr>
        <w:pStyle w:val="DipnotMetni"/>
        <w:spacing w:before="120" w:after="120"/>
        <w:ind w:firstLine="567"/>
        <w:jc w:val="both"/>
        <w:rPr>
          <w:rFonts w:ascii="Palatino Linotype" w:eastAsia="Times New Roman" w:hAnsi="Palatino Linotype" w:cstheme="minorHAnsi"/>
          <w:sz w:val="21"/>
          <w:szCs w:val="21"/>
        </w:rPr>
      </w:pPr>
      <w:r w:rsidRPr="00A40242">
        <w:rPr>
          <w:rFonts w:ascii="Palatino Linotype" w:hAnsi="Palatino Linotype" w:cstheme="minorHAnsi"/>
          <w:sz w:val="21"/>
          <w:szCs w:val="21"/>
        </w:rPr>
        <w:t>Benzer bir durum 1980 darbesinden sonra yaşanmış ve 1402</w:t>
      </w:r>
      <w:r w:rsidRPr="00A40242">
        <w:rPr>
          <w:rFonts w:ascii="Palatino Linotype" w:eastAsia="Times New Roman" w:hAnsi="Palatino Linotype" w:cstheme="minorHAnsi"/>
          <w:sz w:val="21"/>
          <w:szCs w:val="21"/>
        </w:rPr>
        <w:t xml:space="preserve"> sayılı Sıkıyönetim Kanunu'nun 2. maddesine 2301 sayılı Kanun'un 1. maddesiyle eklenen fıkra ile sıkıyönetim komutanlarının isteği üzerine işlerine son verilen memurların, diğer kamu görevlileri ve kamu hizmetlerinde görevli işçilerin </w:t>
      </w:r>
      <w:r w:rsidRPr="00A40242">
        <w:rPr>
          <w:rFonts w:ascii="Palatino Linotype" w:eastAsia="Times New Roman" w:hAnsi="Palatino Linotype" w:cstheme="minorHAnsi"/>
          <w:i/>
          <w:sz w:val="21"/>
          <w:szCs w:val="21"/>
        </w:rPr>
        <w:t>"bir daha kamu hizmetlerinde çalıştırılamayacakları"</w:t>
      </w:r>
      <w:r w:rsidRPr="00A40242">
        <w:rPr>
          <w:rFonts w:ascii="Palatino Linotype" w:eastAsia="Times New Roman" w:hAnsi="Palatino Linotype" w:cstheme="minorHAnsi"/>
          <w:sz w:val="21"/>
          <w:szCs w:val="21"/>
        </w:rPr>
        <w:t xml:space="preserve"> kurala bağlanmıştır. Maddenin uygulanmasıyla ilgili Danıştay Daireleri arasında içtihat farklılığı çıkması üzerine konuyu değerlendiren Danıştay İçtihadı Birleştirme Genel Kurulu verdiği kararında, ilk kez kamu görevine girdikleri tarihte bu görev için yasa ve yönetmeliklerde aranan nitelikleri kaybetmemiş olmaları şartıyla işlerine son verilen kişilerin sıkıyönetim kalktıktan sonra eski görevlerine iade edilmeleri gerektiğini belirtmiştir. 15 Temmuz sonrası çıkarılan KHK'lerle aynı nitelikte olan bu düzenlemeyle ilgili Danıştay İçtihadı Birleştirme Genel Kurulu şu hususlara yer vermiştir; </w:t>
      </w:r>
    </w:p>
    <w:p w14:paraId="110B1776" w14:textId="77777777" w:rsidR="00936167" w:rsidRPr="00A40242" w:rsidRDefault="00936167" w:rsidP="00936167">
      <w:pPr>
        <w:pStyle w:val="DipnotMetni"/>
        <w:spacing w:before="120" w:after="120"/>
        <w:ind w:firstLine="567"/>
        <w:jc w:val="both"/>
        <w:rPr>
          <w:rFonts w:ascii="Palatino Linotype" w:eastAsia="Times New Roman" w:hAnsi="Palatino Linotype" w:cstheme="minorHAnsi"/>
          <w:i/>
          <w:sz w:val="21"/>
          <w:szCs w:val="21"/>
        </w:rPr>
      </w:pPr>
      <w:r w:rsidRPr="00A40242">
        <w:rPr>
          <w:rFonts w:ascii="Palatino Linotype" w:eastAsia="Times New Roman" w:hAnsi="Palatino Linotype" w:cstheme="minorHAnsi"/>
          <w:i/>
          <w:sz w:val="21"/>
          <w:szCs w:val="21"/>
        </w:rPr>
        <w:t>Kamu hizmetlerine girme hakkı Anayasa'nın 70 inci maddesinde düzenlenmiştir. Bu maddeye göre, "Her Türk, kamu hizmetlerine girme hakkına sahiptir, hizmete alınmada, görevin gerektirdiği niteliklerden başka hiç bir ayırım gözetilemez." Madde kamu hizmetine girme hakkı yönünden vatandaşlar arasında herhangi bir ayrım yapmamış, görevin gerektirdiği niteliklere sahip olmayı bu haktan yararlanabilmek için yeterli saymak suretiyle "Kanun önünde eşitlik" ilkesini açıklayan 10. maddeye uygun bir düzenleme getirmiştir. Bilindiği gibi Anayasa'nın 10. maddesi herkesin, dil, ırk, renk, cinsiyet, siyasi düşünce, felsefi inanç, din, mezhep ve benzeri sebeplerle ayrım gözetilmeksizin kanun önünde eşit olduğunu; devlet organları ile idari makamlarının bütün işlemlerinde kanun önünde eşitlik ilkesine uygun olarak hareket etmek zorunda olduklarını kabul eder. </w:t>
      </w:r>
    </w:p>
    <w:p w14:paraId="718FC116" w14:textId="77777777" w:rsidR="00936167" w:rsidRPr="00A40242" w:rsidRDefault="00936167" w:rsidP="00936167">
      <w:pPr>
        <w:pStyle w:val="DipnotMetni"/>
        <w:spacing w:before="120" w:after="120"/>
        <w:ind w:firstLine="567"/>
        <w:jc w:val="both"/>
        <w:rPr>
          <w:rFonts w:ascii="Palatino Linotype" w:eastAsia="Times New Roman" w:hAnsi="Palatino Linotype" w:cstheme="minorHAnsi"/>
          <w:sz w:val="21"/>
          <w:szCs w:val="21"/>
        </w:rPr>
      </w:pPr>
      <w:r w:rsidRPr="00A40242">
        <w:rPr>
          <w:rFonts w:ascii="Palatino Linotype" w:eastAsia="Times New Roman" w:hAnsi="Palatino Linotype" w:cstheme="minorHAnsi"/>
          <w:i/>
          <w:sz w:val="21"/>
          <w:szCs w:val="21"/>
        </w:rPr>
        <w:t xml:space="preserve">Sıkıyönetim komutanlarının istemleri üzerine görevine son verilenlerin büyük bir bölümü hakkında gerek sıkıyönetim döneminde, gerek sıkıyönetim sona erdikten sonra, yasada göreve son verilmesini gerektiren ve tek tek sayılan nedenlerin özel ağırlık taşımalarına karşın, herhangi bir kovuşturma veya soruşturma yapılmamış özel ağırlık taşımalarına karşın, herhangi bir kovuşturma veya soruşturma yapılmamış olması, söz konusu yetkinin kullanılmasında Anayasa'nın 10. maddesinde belirtilen ve kanunun uygulanmasında ayrım nedeni olmayacağı kabul edilen unsurların ağılık kazandığını göstermektedir. Hal böyle olunca, tartışma konusu yasaklayıcı hükmün sıkıyönetim kalktıktan sonra da </w:t>
      </w:r>
      <w:r w:rsidRPr="00A40242">
        <w:rPr>
          <w:rFonts w:ascii="Palatino Linotype" w:eastAsia="Times New Roman" w:hAnsi="Palatino Linotype" w:cstheme="minorHAnsi"/>
          <w:i/>
          <w:sz w:val="21"/>
          <w:szCs w:val="21"/>
        </w:rPr>
        <w:lastRenderedPageBreak/>
        <w:t>uygulanabileceğini kabul etmek, sıkıyönetim komutanının isteği üzerine görevden alınmış olmayı kamu hizmetlerine girme hakkını sürekli olarak ortadan kaldıran bir nitelik haline dönüştürmektedir ki; bu sonucun Anayasanın 70. maddesinin kamu hizmetine girmek için öngördüğü ölçütle ve 10 uncu maddesinde ifadesini bulan eşitlik ilkesi ile bağdaşmayacağı açıktır.</w:t>
      </w:r>
      <w:r w:rsidRPr="00A40242">
        <w:rPr>
          <w:rStyle w:val="DipnotBavurusu"/>
          <w:rFonts w:ascii="Palatino Linotype" w:eastAsia="Times New Roman" w:hAnsi="Palatino Linotype" w:cstheme="minorHAnsi"/>
          <w:sz w:val="21"/>
          <w:szCs w:val="21"/>
        </w:rPr>
        <w:t xml:space="preserve"> </w:t>
      </w:r>
      <w:r w:rsidRPr="00A40242">
        <w:rPr>
          <w:rStyle w:val="DipnotBavurusu"/>
          <w:rFonts w:ascii="Palatino Linotype" w:eastAsia="Times New Roman" w:hAnsi="Palatino Linotype" w:cstheme="minorHAnsi"/>
          <w:sz w:val="21"/>
          <w:szCs w:val="21"/>
        </w:rPr>
        <w:footnoteReference w:id="159"/>
      </w:r>
      <w:r w:rsidRPr="00A40242">
        <w:rPr>
          <w:rFonts w:ascii="Palatino Linotype" w:eastAsia="Times New Roman" w:hAnsi="Palatino Linotype" w:cstheme="minorHAnsi"/>
          <w:sz w:val="21"/>
          <w:szCs w:val="21"/>
        </w:rPr>
        <w:t xml:space="preserve">  </w:t>
      </w:r>
    </w:p>
    <w:p w14:paraId="32EF642D" w14:textId="77777777" w:rsidR="00936167" w:rsidRPr="00A40242" w:rsidRDefault="00936167" w:rsidP="00936167">
      <w:pPr>
        <w:pStyle w:val="DipnotMetni"/>
        <w:spacing w:before="120" w:after="120"/>
        <w:ind w:firstLine="567"/>
        <w:jc w:val="both"/>
        <w:rPr>
          <w:rFonts w:ascii="Palatino Linotype" w:eastAsia="Times New Roman" w:hAnsi="Palatino Linotype" w:cstheme="minorHAnsi"/>
          <w:i/>
          <w:sz w:val="21"/>
          <w:szCs w:val="21"/>
        </w:rPr>
      </w:pPr>
      <w:r w:rsidRPr="00A40242">
        <w:rPr>
          <w:rFonts w:ascii="Palatino Linotype" w:hAnsi="Palatino Linotype" w:cstheme="minorHAnsi"/>
          <w:sz w:val="21"/>
          <w:szCs w:val="21"/>
        </w:rPr>
        <w:t>Yapılan açıklamalardan da anlaşılacağı üzere, temel haklara yapılan müdahale için meşru bir amaç ve sebebin varlığı yeterli olmayıp, müdahale için aynı zamanda demokratik toplumda bir zorunluluk bulunmalıdır. Ülkemiz açısından bakıldığında ise darbe tehlikesinin ortadan kalkmasından sonra da geçerli olacak tedbirlerinin ve haklara yapılan müdahalelerin zorunluluk şartını karşıladığı söylenemez ve bu nedenle binlerce kişinin kamu görevinden çıkarılması ve bir daha doğrudan ya da dolaylı şekilde kamu görevinde istihdamlarının yasaklanmasının kabulü mümkün değildir.</w:t>
      </w:r>
      <w:r w:rsidRPr="00A40242">
        <w:rPr>
          <w:rStyle w:val="DipnotBavurusu"/>
          <w:rFonts w:ascii="Palatino Linotype" w:hAnsi="Palatino Linotype" w:cstheme="minorHAnsi"/>
          <w:sz w:val="21"/>
          <w:szCs w:val="21"/>
        </w:rPr>
        <w:footnoteReference w:id="160"/>
      </w:r>
      <w:r w:rsidRPr="00A40242">
        <w:rPr>
          <w:rFonts w:ascii="Palatino Linotype" w:hAnsi="Palatino Linotype" w:cstheme="minorHAnsi"/>
          <w:sz w:val="21"/>
          <w:szCs w:val="21"/>
        </w:rPr>
        <w:t xml:space="preserve"> Ancak, 667 sayılı OHAL KHK'sinin 3/1. ve 668 sayılı OHAL KHK'sinin</w:t>
      </w:r>
      <w:r w:rsidRPr="00A40242">
        <w:rPr>
          <w:rStyle w:val="DipnotBavurusu"/>
          <w:rFonts w:ascii="Palatino Linotype" w:hAnsi="Palatino Linotype" w:cstheme="minorHAnsi"/>
          <w:sz w:val="21"/>
          <w:szCs w:val="21"/>
        </w:rPr>
        <w:footnoteReference w:id="161"/>
      </w:r>
      <w:r w:rsidRPr="00A40242">
        <w:rPr>
          <w:rFonts w:ascii="Palatino Linotype" w:hAnsi="Palatino Linotype" w:cstheme="minorHAnsi"/>
          <w:sz w:val="21"/>
          <w:szCs w:val="21"/>
        </w:rPr>
        <w:t xml:space="preserve"> 4/8. maddeleri gereğince, meslekten çıkarılan yargı mensuplarının bir daha kamu görevinde istihdamları ve doğrudan ya da dolaylı olarak görevlendirilmeleri yasaklanmış, silah ruhsatları ve pasaportları iptal edilmiş, uhdelerinde taşıdıkları sıfatları kullanma ve sahip oldukları unvan, sıfat ve mesleğe bağlı olarak sağlanan haklardan yararlanma ve AYM</w:t>
      </w:r>
      <w:r w:rsidRPr="00A40242">
        <w:rPr>
          <w:rStyle w:val="DipnotBavurusu"/>
          <w:rFonts w:ascii="Palatino Linotype" w:hAnsi="Palatino Linotype" w:cstheme="minorHAnsi"/>
          <w:sz w:val="21"/>
          <w:szCs w:val="21"/>
        </w:rPr>
        <w:footnoteReference w:id="162"/>
      </w:r>
      <w:r w:rsidRPr="00A40242">
        <w:rPr>
          <w:rFonts w:ascii="Palatino Linotype" w:hAnsi="Palatino Linotype" w:cstheme="minorHAnsi"/>
          <w:sz w:val="21"/>
          <w:szCs w:val="21"/>
        </w:rPr>
        <w:t xml:space="preserve"> ve Danıştay</w:t>
      </w:r>
      <w:r w:rsidRPr="00A40242">
        <w:rPr>
          <w:rStyle w:val="DipnotBavurusu"/>
          <w:rFonts w:ascii="Palatino Linotype" w:hAnsi="Palatino Linotype" w:cstheme="minorHAnsi"/>
          <w:sz w:val="21"/>
          <w:szCs w:val="21"/>
        </w:rPr>
        <w:footnoteReference w:id="163"/>
      </w:r>
      <w:r w:rsidRPr="00A40242">
        <w:rPr>
          <w:rFonts w:ascii="Palatino Linotype" w:hAnsi="Palatino Linotype" w:cstheme="minorHAnsi"/>
          <w:sz w:val="21"/>
          <w:szCs w:val="21"/>
        </w:rPr>
        <w:t xml:space="preserve">  kararları gereğince kamu hizmeti sayılmayan serbest avukatlık yapma imkânlarında ellerinden alınmıştır.</w:t>
      </w:r>
      <w:r w:rsidRPr="00A40242">
        <w:rPr>
          <w:rStyle w:val="DipnotBavurusu"/>
          <w:rFonts w:ascii="Palatino Linotype" w:hAnsi="Palatino Linotype" w:cstheme="minorHAnsi"/>
          <w:sz w:val="21"/>
          <w:szCs w:val="21"/>
        </w:rPr>
        <w:footnoteReference w:id="164"/>
      </w:r>
      <w:r w:rsidRPr="00A40242">
        <w:rPr>
          <w:rFonts w:ascii="Palatino Linotype" w:hAnsi="Palatino Linotype" w:cstheme="minorHAnsi"/>
          <w:sz w:val="21"/>
          <w:szCs w:val="21"/>
        </w:rPr>
        <w:t xml:space="preserve"> Hatta meslekten çıkarılmalarının ardından yargılandıkları ceza davasından beraat eden yargı mensuplarının baroya kaydolma talepleri Türkiye Barolar Birliği tarafından kabul edilse bile bu karara Adalet Bakanlığı tarafından itiraz edilmiş, itiraz üzerine idare mahkemeleri de Barolar Birliği'nin kararını iptal etmiş ve aklansalar dahi bu kişilerin mağduriyeti devam </w:t>
      </w:r>
      <w:r w:rsidRPr="00A40242">
        <w:rPr>
          <w:rFonts w:ascii="Palatino Linotype" w:hAnsi="Palatino Linotype" w:cstheme="minorHAnsi"/>
          <w:sz w:val="21"/>
          <w:szCs w:val="21"/>
        </w:rPr>
        <w:lastRenderedPageBreak/>
        <w:t>etmiştir. Yine, isimlerinin internet ortamında yayımlanması ve bu kişilerle ilgili kamuoyunda silahlı terör örgütü üyesi ve darbeci oldukları yönünde oluşturulan intiba nedeniyle özel sektörde de iş bulmaları çok zorlaşmış ve adeta açlığa mahkûm edilmişlerdir.</w:t>
      </w:r>
    </w:p>
    <w:p w14:paraId="24E2DD81" w14:textId="77777777" w:rsidR="00936167" w:rsidRPr="00A40242" w:rsidRDefault="00936167" w:rsidP="00936167">
      <w:pPr>
        <w:pStyle w:val="DipnotMetni"/>
        <w:spacing w:before="120" w:after="120"/>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Ayrıca, kendilerinin ve ailelerinin pasaportları iptal edildiğinden yurt dışına çıkışları da yasaklanmış ve çok zor hayat şartlarına muhatap kılınmak suretiyle adeta </w:t>
      </w:r>
      <w:r w:rsidRPr="00A40242">
        <w:rPr>
          <w:rFonts w:ascii="Palatino Linotype" w:hAnsi="Palatino Linotype" w:cstheme="minorHAnsi"/>
          <w:i/>
          <w:sz w:val="21"/>
          <w:szCs w:val="21"/>
        </w:rPr>
        <w:t>"sivil ölüme"</w:t>
      </w:r>
      <w:r w:rsidRPr="00A40242">
        <w:rPr>
          <w:rFonts w:ascii="Palatino Linotype" w:hAnsi="Palatino Linotype" w:cstheme="minorHAnsi"/>
          <w:sz w:val="21"/>
          <w:szCs w:val="21"/>
        </w:rPr>
        <w:t xml:space="preserve"> terk edilmişlerdir. AİHM'in, kamu görevinden çıkarma olmadan sadece kişilerin isimlerinin yayımlanmasına ilişkin uygulanan tedbiri bile AİHS'e aykırı bulduğu dikkate alındığında,</w:t>
      </w:r>
      <w:r w:rsidRPr="00A40242">
        <w:rPr>
          <w:rStyle w:val="DipnotBavurusu"/>
          <w:rFonts w:ascii="Palatino Linotype" w:hAnsi="Palatino Linotype" w:cstheme="minorHAnsi"/>
          <w:sz w:val="21"/>
          <w:szCs w:val="21"/>
        </w:rPr>
        <w:footnoteReference w:id="165"/>
      </w:r>
      <w:r w:rsidRPr="00A40242">
        <w:rPr>
          <w:rFonts w:ascii="Palatino Linotype" w:hAnsi="Palatino Linotype" w:cstheme="minorHAnsi"/>
          <w:sz w:val="21"/>
          <w:szCs w:val="21"/>
        </w:rPr>
        <w:t xml:space="preserve"> kişi, konu ve zaman yönünden ayırım yapılmaksızın bir daha kamu görevinde bulunmamak üzere verilen meslekten çıkarma cezasının demokratik bir toplumda gerekli ve öngörülen amaçla orantılı olduğunu söylemek mümkün değildir.</w:t>
      </w:r>
      <w:r w:rsidRPr="00A40242">
        <w:rPr>
          <w:rStyle w:val="DipnotBavurusu"/>
          <w:rFonts w:ascii="Palatino Linotype" w:hAnsi="Palatino Linotype" w:cstheme="minorHAnsi"/>
          <w:sz w:val="21"/>
          <w:szCs w:val="21"/>
        </w:rPr>
        <w:footnoteReference w:id="166"/>
      </w:r>
    </w:p>
    <w:p w14:paraId="2E585875" w14:textId="77777777" w:rsidR="00936167" w:rsidRPr="00A40242" w:rsidRDefault="00936167" w:rsidP="00936167">
      <w:pPr>
        <w:pStyle w:val="DipnotMetni"/>
        <w:spacing w:before="120" w:after="120"/>
        <w:ind w:firstLine="567"/>
        <w:jc w:val="both"/>
        <w:rPr>
          <w:rStyle w:val="DipnotBavurusu1"/>
          <w:rFonts w:ascii="Palatino Linotype" w:hAnsi="Palatino Linotype" w:cstheme="minorHAnsi"/>
          <w:sz w:val="21"/>
          <w:szCs w:val="21"/>
        </w:rPr>
      </w:pPr>
      <w:r w:rsidRPr="00A40242">
        <w:rPr>
          <w:rFonts w:ascii="Palatino Linotype" w:hAnsi="Palatino Linotype" w:cstheme="minorHAnsi"/>
          <w:b/>
          <w:sz w:val="21"/>
          <w:szCs w:val="21"/>
        </w:rPr>
        <w:t xml:space="preserve">iii. </w:t>
      </w:r>
      <w:r w:rsidRPr="00A40242">
        <w:rPr>
          <w:rFonts w:ascii="Palatino Linotype" w:hAnsi="Palatino Linotype" w:cstheme="minorHAnsi"/>
          <w:sz w:val="21"/>
          <w:szCs w:val="21"/>
        </w:rPr>
        <w:t>AİHM verdiği bir kararında, güvenlik güçleri tarafından gizli izleme metotları kullanmaksızın belirli kişiler hakkında sistematik veri toplanması ve depolanmasının, bu veriler açık kaynaktan temin edilse bile kişilerin özel yaşamlarına müdahale oluşturacağını, bu bilgilerin kişinin uzak geçmişi ile ilgili olması halinde de aynı müdahalenin varlığının kabul edileceğini belirtmiştir.</w:t>
      </w:r>
      <w:r w:rsidRPr="00A40242">
        <w:rPr>
          <w:rStyle w:val="DipnotBavurusu1"/>
          <w:rFonts w:ascii="Palatino Linotype" w:hAnsi="Palatino Linotype" w:cstheme="minorHAnsi"/>
          <w:sz w:val="21"/>
          <w:szCs w:val="21"/>
        </w:rPr>
        <w:footnoteReference w:id="167"/>
      </w:r>
    </w:p>
    <w:p w14:paraId="0E465BF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HSYK kararında meslekten çıkarma gerekçesi olarak, ilgililerin özlük dosyalarındaki bilgileri, sosyal medya hesaplarındaki paylaşımları, mahallinde yapılan araştırmalar, emniyet güçlerinin düzenlediği istihbari raporlar, sosyal çevre bilgileri ve şifreli haberleşme programındaki yazışmalar gösterilmiştir. Gerekçede yer verilen bu hususlar göstermektedir ki, bir hâkim kararı olmaksızın hem güvenlik güçleri hem de başka kişiler tarafından meslekten çıkarılan yargı mensupları hakkında sistematik veri toplanmış ve depolanmıştır. Başka bir ifadeyle, fişlemeye dayalı ve istihbari raporlarla yargı mensuplarının özel ve aile hayatları ve kimlerle arkadaşlık ettikleri rızaları olmaksızın gizlice araştırılmış, meslektaşlarından dünya görüşleri hakkında bilgi edinilmiş,</w:t>
      </w:r>
      <w:r w:rsidRPr="00A40242">
        <w:rPr>
          <w:rStyle w:val="DipnotBavurusu1"/>
          <w:rFonts w:ascii="Palatino Linotype" w:hAnsi="Palatino Linotype" w:cstheme="minorHAnsi"/>
          <w:sz w:val="21"/>
          <w:szCs w:val="21"/>
        </w:rPr>
        <w:footnoteReference w:id="168"/>
      </w:r>
      <w:r w:rsidRPr="00A40242">
        <w:rPr>
          <w:rFonts w:ascii="Palatino Linotype" w:hAnsi="Palatino Linotype" w:cstheme="minorHAnsi"/>
          <w:sz w:val="21"/>
          <w:szCs w:val="21"/>
        </w:rPr>
        <w:t xml:space="preserve"> kendileri ve aileleri bunun aksini ispat için fırsat verilmeksizin belli bir kalıbın içine sokularak tek taraflı ve yanlı bir belirlemeye tabi tutulmuştur. Ancak, yukarıda yer verilen ve sosyal çevre bilgisini oluşturan hususların tamamı hukuka uygun davranışlardır. AİHM kriterleri dikkate alındığında, hukuki dayanağı olmayan fişleme kayıtları ve sosyal çevre bilgilerinin karara esas alınması açıkça Sözleşme'nin 8. maddesine aykırıdır.</w:t>
      </w:r>
      <w:r w:rsidRPr="00A40242">
        <w:rPr>
          <w:rStyle w:val="DipnotBavurusu"/>
          <w:rFonts w:ascii="Palatino Linotype" w:hAnsi="Palatino Linotype" w:cstheme="minorHAnsi"/>
          <w:sz w:val="21"/>
          <w:szCs w:val="21"/>
        </w:rPr>
        <w:footnoteReference w:id="169"/>
      </w:r>
    </w:p>
    <w:p w14:paraId="3C43F0C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Ayrıca, ihraç edilen yargı mensuplarının daha önceden hazırlanan fişleme listelerinde yer alan kişiler olduğu, bu kişilerle ilgili adli ve idari bir soruşturmayı gerektirecek herhangi bir delil bulunmadığından darbe teşebbüsünün fırsata çevrildiği ve kalkışmanın devam ettiği sırada da alelacele açığa alındıkları bilinen bir gerçektir. Zira HSYK Başkanvekili Mehmet Yılmaz bir gecede bu kadar çok sayıda hâkim-savcıyı nasıl açığa aldıklarıyla ilgili yapılan eleştirilere; “</w:t>
      </w:r>
      <w:r w:rsidRPr="00A40242">
        <w:rPr>
          <w:rFonts w:ascii="Palatino Linotype" w:hAnsi="Palatino Linotype" w:cstheme="minorHAnsi"/>
          <w:i/>
          <w:iCs/>
          <w:sz w:val="21"/>
          <w:szCs w:val="21"/>
        </w:rPr>
        <w:t xml:space="preserve">15 Temmuz darbe gecesinin sabahında HSYK 2. Dairesi olarak 2740 hâkim ve savcıyı açığa aldık. Ancak bir gecede hazırlanmış bir liste değil, 3 yıldır üzerinde çalışıyorduk” </w:t>
      </w:r>
      <w:r w:rsidRPr="00A40242">
        <w:rPr>
          <w:rFonts w:ascii="Palatino Linotype" w:hAnsi="Palatino Linotype" w:cstheme="minorHAnsi"/>
          <w:sz w:val="21"/>
          <w:szCs w:val="21"/>
        </w:rPr>
        <w:t>şeklinde cevap vermiş,</w:t>
      </w:r>
      <w:r w:rsidRPr="00A40242">
        <w:rPr>
          <w:rStyle w:val="DipnotBavurusu"/>
          <w:rFonts w:ascii="Palatino Linotype" w:hAnsi="Palatino Linotype" w:cstheme="minorHAnsi"/>
          <w:sz w:val="21"/>
          <w:szCs w:val="21"/>
        </w:rPr>
        <w:footnoteReference w:id="170"/>
      </w:r>
      <w:r w:rsidRPr="00A40242">
        <w:rPr>
          <w:rFonts w:ascii="Palatino Linotype" w:hAnsi="Palatino Linotype" w:cstheme="minorHAnsi"/>
          <w:sz w:val="21"/>
          <w:szCs w:val="21"/>
        </w:rPr>
        <w:t xml:space="preserve"> 30/7/2016 tarihinde yaptığı açıklamada; </w:t>
      </w:r>
      <w:r w:rsidRPr="00A40242">
        <w:rPr>
          <w:rFonts w:ascii="Palatino Linotype" w:hAnsi="Palatino Linotype" w:cstheme="minorHAnsi"/>
          <w:i/>
          <w:sz w:val="21"/>
          <w:szCs w:val="21"/>
        </w:rPr>
        <w:t>"…17 arkadaşımız buradaki genel sekreterlerimiz, tetkik hâkimlerimiz, müfettişlerimiz ve mahallinden bize bilgi ve belge aktaran savcılarımızla birlikte, en idealini, en adilini ortaya çıkarmaya çalışıyoruz",</w:t>
      </w:r>
      <w:r w:rsidRPr="00A40242">
        <w:rPr>
          <w:rStyle w:val="DipnotBavurusu"/>
          <w:rFonts w:ascii="Palatino Linotype" w:hAnsi="Palatino Linotype" w:cstheme="minorHAnsi"/>
          <w:sz w:val="21"/>
          <w:szCs w:val="21"/>
        </w:rPr>
        <w:footnoteReference w:id="171"/>
      </w:r>
      <w:r w:rsidRPr="00A40242">
        <w:rPr>
          <w:rFonts w:ascii="Palatino Linotype" w:hAnsi="Palatino Linotype" w:cstheme="minorHAnsi"/>
          <w:sz w:val="21"/>
          <w:szCs w:val="21"/>
        </w:rPr>
        <w:t xml:space="preserve"> 22/9/2016 tarihinde yaptığı açıklamada; “</w:t>
      </w:r>
      <w:r w:rsidRPr="00A40242">
        <w:rPr>
          <w:rFonts w:ascii="Palatino Linotype" w:hAnsi="Palatino Linotype" w:cstheme="minorHAnsi"/>
          <w:i/>
          <w:iCs/>
          <w:sz w:val="21"/>
          <w:szCs w:val="21"/>
        </w:rPr>
        <w:t xml:space="preserve">...biz dış dünyaya yansıyan </w:t>
      </w:r>
      <w:r w:rsidRPr="00A40242">
        <w:rPr>
          <w:rFonts w:ascii="Palatino Linotype" w:hAnsi="Palatino Linotype" w:cstheme="minorHAnsi"/>
          <w:i/>
          <w:iCs/>
          <w:sz w:val="21"/>
          <w:szCs w:val="21"/>
        </w:rPr>
        <w:lastRenderedPageBreak/>
        <w:t>eylemi olan hakim-savcılarla ilgili gereğini yaptık. MİT TIR'ları soruşturmasında savcılarla ilgili kovuşturma izni verdik ve Yargıtay'da dava açıldı ama henüz mahkûmiyet çıkmamıştı. Biz de çalışmalarımızı devam ettirip örgütle iltisaklı olanları saptadık”</w:t>
      </w:r>
      <w:r w:rsidRPr="00A40242">
        <w:rPr>
          <w:rStyle w:val="DipnotBavurusu"/>
          <w:rFonts w:ascii="Palatino Linotype" w:hAnsi="Palatino Linotype" w:cstheme="minorHAnsi"/>
          <w:sz w:val="21"/>
          <w:szCs w:val="21"/>
        </w:rPr>
        <w:footnoteReference w:id="172"/>
      </w:r>
      <w:r w:rsidRPr="00A40242">
        <w:rPr>
          <w:rFonts w:ascii="Palatino Linotype" w:hAnsi="Palatino Linotype" w:cstheme="minorHAnsi"/>
          <w:i/>
          <w:iCs/>
          <w:sz w:val="21"/>
          <w:szCs w:val="21"/>
        </w:rPr>
        <w:t xml:space="preserve"> </w:t>
      </w:r>
      <w:r w:rsidRPr="00A40242">
        <w:rPr>
          <w:rFonts w:ascii="Palatino Linotype" w:hAnsi="Palatino Linotype" w:cstheme="minorHAnsi"/>
          <w:iCs/>
          <w:sz w:val="21"/>
          <w:szCs w:val="21"/>
        </w:rPr>
        <w:t xml:space="preserve">ve 21/11/2016 tarihinde bir televizyon kanalına verdiği röportajda da,  </w:t>
      </w:r>
      <w:r w:rsidRPr="00A40242">
        <w:rPr>
          <w:rFonts w:ascii="Palatino Linotype" w:hAnsi="Palatino Linotype" w:cstheme="minorHAnsi"/>
          <w:sz w:val="21"/>
          <w:szCs w:val="21"/>
        </w:rPr>
        <w:t xml:space="preserve">darbe girişiminin devam ettiği saatlerde 2745 hâkim-savcının açığa alınmasıyla ilgili olarak; </w:t>
      </w:r>
      <w:r w:rsidRPr="00A40242">
        <w:rPr>
          <w:rFonts w:ascii="Palatino Linotype" w:hAnsi="Palatino Linotype" w:cstheme="minorHAnsi"/>
          <w:i/>
          <w:sz w:val="21"/>
          <w:szCs w:val="21"/>
        </w:rPr>
        <w:t>"bizim genel ispat aracımız tanık anlatımlarıydı. Tanıklarımızın tamamı da hâkim-savcılardan oluşuyor. İllerdeki başsavcılar, ağır ceza mahkemesi başkanları ve hâkimlerin tanıklığından oluşan bir listeydi bu örgüt listesi. Genel Kurulumuz, 35 kişilik tetkik hâkimi ve müfettişlerden oluşan bir heyet oluşturmuştur. Bütün delilleri önce bu arkadaşlar elden geçiriyorlar"</w:t>
      </w:r>
      <w:r w:rsidRPr="00A40242">
        <w:rPr>
          <w:rFonts w:ascii="Palatino Linotype" w:hAnsi="Palatino Linotype" w:cstheme="minorHAnsi"/>
          <w:sz w:val="21"/>
          <w:szCs w:val="21"/>
        </w:rPr>
        <w:t xml:space="preserve"> demiştir.</w:t>
      </w:r>
      <w:r w:rsidRPr="00A40242">
        <w:rPr>
          <w:rStyle w:val="DipnotBavurusu"/>
          <w:rFonts w:ascii="Palatino Linotype" w:hAnsi="Palatino Linotype" w:cstheme="minorHAnsi"/>
          <w:sz w:val="21"/>
          <w:szCs w:val="21"/>
        </w:rPr>
        <w:footnoteReference w:id="173"/>
      </w:r>
      <w:r w:rsidRPr="00A40242">
        <w:rPr>
          <w:rFonts w:ascii="Palatino Linotype" w:hAnsi="Palatino Linotype" w:cstheme="minorHAnsi"/>
          <w:sz w:val="21"/>
          <w:szCs w:val="21"/>
        </w:rPr>
        <w:t xml:space="preserve"> </w:t>
      </w:r>
    </w:p>
    <w:p w14:paraId="15798D9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2745 yargı mensubuyla ilgili 15 Temmuz'a kadar yürütülen bir adli ve idari soruşturma bulunmadığına göre Başkanvekilinin </w:t>
      </w:r>
      <w:r w:rsidRPr="00A40242">
        <w:rPr>
          <w:rFonts w:ascii="Palatino Linotype" w:hAnsi="Palatino Linotype" w:cstheme="minorHAnsi"/>
          <w:i/>
          <w:sz w:val="21"/>
          <w:szCs w:val="21"/>
        </w:rPr>
        <w:t xml:space="preserve">"örgüt listesi" </w:t>
      </w:r>
      <w:r w:rsidRPr="00A40242">
        <w:rPr>
          <w:rFonts w:ascii="Palatino Linotype" w:hAnsi="Palatino Linotype" w:cstheme="minorHAnsi"/>
          <w:sz w:val="21"/>
          <w:szCs w:val="21"/>
        </w:rPr>
        <w:t xml:space="preserve">diye tabir ettiği listenin oluşturulmasında tanıklık yapan yargı mensupları acaba hangi mevzuat hükümlerine göre tanıklık yapmışlar ve HSYK bu tanıklıkları hangi gerekçelerle ve nasıl kabul etmiştir? Oluşturulan listedeki kişiler örgüt üyesi iseler acaba HSYK bu kişilerle ilgili neden her hangi bir işlem yapmamıştır? Eğer, böyle bir tanıklık söz konusuysa bu tanık beyanları nerededir? Kimler tanıklık yapmıştır? Neden bu tanık beyanlarına ihraç kararında hiç yer verilmemiştir? Tanık beyanlarına karşı ilgililerin savunmaları neden alınmamış ve karşı beyanları sorulmamıştır? Aslında, ortada Başkanvekilinin söylediği tanık beyanları bulunmamaktadır. Tanık beyanlarıyla kastedilen diğer hâkim ve savcılardan elde edilen fişleme bilgileridir ve </w:t>
      </w:r>
      <w:r w:rsidRPr="00A40242">
        <w:rPr>
          <w:rFonts w:ascii="Palatino Linotype" w:hAnsi="Palatino Linotype" w:cstheme="minorHAnsi"/>
          <w:i/>
          <w:sz w:val="21"/>
          <w:szCs w:val="21"/>
        </w:rPr>
        <w:t xml:space="preserve">"mahallinden bize bilgi ve belge aktaran savcılarımız" </w:t>
      </w:r>
      <w:r w:rsidRPr="00A40242">
        <w:rPr>
          <w:rFonts w:ascii="Palatino Linotype" w:hAnsi="Palatino Linotype" w:cstheme="minorHAnsi"/>
          <w:sz w:val="21"/>
          <w:szCs w:val="21"/>
        </w:rPr>
        <w:t xml:space="preserve">ifadesiyle de bu husus itiraf edilmiştir. Başkanvekili, oluşturulan listenin fişlemeye dayalı olduğunu ve bunun da suç teşkil ettiğini bildiğinden, fişleme listelerine hukukilik kazandırmak için hukuki bir kavram olan </w:t>
      </w:r>
      <w:r w:rsidRPr="00A40242">
        <w:rPr>
          <w:rFonts w:ascii="Palatino Linotype" w:hAnsi="Palatino Linotype" w:cstheme="minorHAnsi"/>
          <w:i/>
          <w:sz w:val="21"/>
          <w:szCs w:val="21"/>
        </w:rPr>
        <w:t>"tanık beyanları"</w:t>
      </w:r>
      <w:r w:rsidRPr="00A40242">
        <w:rPr>
          <w:rFonts w:ascii="Palatino Linotype" w:hAnsi="Palatino Linotype" w:cstheme="minorHAnsi"/>
          <w:sz w:val="21"/>
          <w:szCs w:val="21"/>
        </w:rPr>
        <w:t xml:space="preserve"> ifadesini kullanmıştır. Ancak, kullanılan ifadelerle hukuka aykırılığın giderilmesi mümkün değildir.</w:t>
      </w:r>
    </w:p>
    <w:p w14:paraId="7338A3C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Yine, oluşturulan listenin fişlemeye dayalı olduğunun bir diğer göstergesi, o dönem HSYK 2. Dairesi üyesi olan Muharrem Özkaya'nın, Adalet Bakanlığı eski Müsteşarı Birol Erdem ile ilgili soruşturma nedeniyle Cumhurbaşkanı'na, Başbakan'a, Adalet Bakanı'na ve soruşturmayı yürütenlere yazdığı söylenen ve basına yansıyan mektuptur. Bu mektupta; </w:t>
      </w:r>
      <w:r w:rsidRPr="00A40242">
        <w:rPr>
          <w:rFonts w:ascii="Palatino Linotype" w:hAnsi="Palatino Linotype" w:cstheme="minorHAnsi"/>
          <w:i/>
          <w:sz w:val="21"/>
          <w:szCs w:val="21"/>
        </w:rPr>
        <w:t>“Birol Erdem, Yargıtay, Danıştay ve yüksek mahkemelerdeki FETÖ'cü listesini hazırladı. İdari yargıda tasfiyesi yapılan 456 FETÖ'cü ismin tespit çalışmasını yine Birol Erdem yapmıştır”</w:t>
      </w:r>
      <w:r w:rsidRPr="00A40242">
        <w:rPr>
          <w:rFonts w:ascii="Palatino Linotype" w:hAnsi="Palatino Linotype" w:cstheme="minorHAnsi"/>
          <w:sz w:val="21"/>
          <w:szCs w:val="21"/>
        </w:rPr>
        <w:t xml:space="preserve"> denilmiştir.</w:t>
      </w:r>
      <w:r w:rsidRPr="00A40242">
        <w:rPr>
          <w:rStyle w:val="DipnotBavurusu"/>
          <w:rFonts w:ascii="Palatino Linotype" w:hAnsi="Palatino Linotype" w:cstheme="minorHAnsi"/>
          <w:sz w:val="21"/>
          <w:szCs w:val="21"/>
        </w:rPr>
        <w:footnoteReference w:id="174"/>
      </w:r>
    </w:p>
    <w:p w14:paraId="5EEFFAA8"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Benzer şekilde, o dönem HSYK Başkanvekili olan Metin Yandırmaz 06/3/2016 tarihinde yaptığı açıklamada;</w:t>
      </w:r>
      <w:r w:rsidRPr="00A40242">
        <w:rPr>
          <w:rFonts w:ascii="Palatino Linotype" w:hAnsi="Palatino Linotype" w:cstheme="minorHAnsi"/>
          <w:sz w:val="21"/>
          <w:szCs w:val="21"/>
          <w:shd w:val="clear" w:color="auto" w:fill="FFFFFF"/>
        </w:rPr>
        <w:t xml:space="preserve"> </w:t>
      </w:r>
      <w:r w:rsidRPr="00A40242">
        <w:rPr>
          <w:rFonts w:ascii="Palatino Linotype" w:hAnsi="Palatino Linotype" w:cstheme="minorHAnsi"/>
          <w:i/>
          <w:sz w:val="21"/>
          <w:szCs w:val="21"/>
          <w:shd w:val="clear" w:color="auto" w:fill="FFFFFF"/>
        </w:rPr>
        <w:t>"5 bine yakın ismin paralel örgütün yargı ayağına yakın veya içinde olduğu tespiti yapıldığını ve hakkında </w:t>
      </w:r>
      <w:hyperlink r:id="rId8" w:tgtFrame="_blank" w:history="1">
        <w:r w:rsidRPr="00A40242">
          <w:rPr>
            <w:rStyle w:val="Kpr"/>
            <w:rFonts w:ascii="Palatino Linotype" w:hAnsi="Palatino Linotype" w:cstheme="minorHAnsi"/>
            <w:color w:val="auto"/>
            <w:sz w:val="21"/>
            <w:szCs w:val="21"/>
            <w:bdr w:val="none" w:sz="0" w:space="0" w:color="auto" w:frame="1"/>
            <w:shd w:val="clear" w:color="auto" w:fill="FFFFFF"/>
          </w:rPr>
          <w:t>FETÖ</w:t>
        </w:r>
      </w:hyperlink>
      <w:r w:rsidRPr="00A40242">
        <w:rPr>
          <w:rFonts w:ascii="Palatino Linotype" w:hAnsi="Palatino Linotype" w:cstheme="minorHAnsi"/>
          <w:i/>
          <w:sz w:val="21"/>
          <w:szCs w:val="21"/>
          <w:shd w:val="clear" w:color="auto" w:fill="FFFFFF"/>
        </w:rPr>
        <w:t> örgütü üyesi oldukları iddiasıyla soruşturma açılacak hâkim-</w:t>
      </w:r>
      <w:hyperlink r:id="rId9" w:tgtFrame="_blank" w:history="1">
        <w:r w:rsidRPr="00A40242">
          <w:rPr>
            <w:rStyle w:val="Kpr"/>
            <w:rFonts w:ascii="Palatino Linotype" w:hAnsi="Palatino Linotype" w:cstheme="minorHAnsi"/>
            <w:color w:val="auto"/>
            <w:sz w:val="21"/>
            <w:szCs w:val="21"/>
            <w:bdr w:val="none" w:sz="0" w:space="0" w:color="auto" w:frame="1"/>
            <w:shd w:val="clear" w:color="auto" w:fill="FFFFFF"/>
          </w:rPr>
          <w:t>savcı</w:t>
        </w:r>
      </w:hyperlink>
      <w:r w:rsidRPr="00A40242">
        <w:rPr>
          <w:rFonts w:ascii="Palatino Linotype" w:hAnsi="Palatino Linotype" w:cstheme="minorHAnsi"/>
          <w:i/>
          <w:sz w:val="21"/>
          <w:szCs w:val="21"/>
        </w:rPr>
        <w:t xml:space="preserve"> </w:t>
      </w:r>
      <w:r w:rsidRPr="00A40242">
        <w:rPr>
          <w:rFonts w:ascii="Palatino Linotype" w:hAnsi="Palatino Linotype" w:cstheme="minorHAnsi"/>
          <w:i/>
          <w:sz w:val="21"/>
          <w:szCs w:val="21"/>
          <w:shd w:val="clear" w:color="auto" w:fill="FFFFFF"/>
        </w:rPr>
        <w:t xml:space="preserve">sayısının Teftiş Kurulu’ndan gelecek raporlar ışığında artabileceğini" </w:t>
      </w:r>
      <w:r w:rsidRPr="00A40242">
        <w:rPr>
          <w:rFonts w:ascii="Palatino Linotype" w:hAnsi="Palatino Linotype" w:cstheme="minorHAnsi"/>
          <w:sz w:val="21"/>
          <w:szCs w:val="21"/>
          <w:shd w:val="clear" w:color="auto" w:fill="FFFFFF"/>
        </w:rPr>
        <w:t>söylemiştir.</w:t>
      </w:r>
      <w:r w:rsidRPr="00A40242">
        <w:rPr>
          <w:rStyle w:val="DipnotBavurusu"/>
          <w:rFonts w:ascii="Palatino Linotype" w:hAnsi="Palatino Linotype" w:cstheme="minorHAnsi"/>
          <w:sz w:val="21"/>
          <w:szCs w:val="21"/>
          <w:shd w:val="clear" w:color="auto" w:fill="FFFFFF"/>
        </w:rPr>
        <w:footnoteReference w:id="175"/>
      </w:r>
      <w:r w:rsidRPr="00A40242">
        <w:rPr>
          <w:rFonts w:ascii="Palatino Linotype" w:hAnsi="Palatino Linotype" w:cstheme="minorHAnsi"/>
          <w:i/>
          <w:sz w:val="21"/>
          <w:szCs w:val="21"/>
          <w:shd w:val="clear" w:color="auto" w:fill="FFFFFF"/>
        </w:rPr>
        <w:t xml:space="preserve"> </w:t>
      </w:r>
      <w:r w:rsidRPr="00A40242">
        <w:rPr>
          <w:rFonts w:ascii="Palatino Linotype" w:hAnsi="Palatino Linotype" w:cstheme="minorHAnsi"/>
          <w:sz w:val="21"/>
          <w:szCs w:val="21"/>
          <w:shd w:val="clear" w:color="auto" w:fill="FFFFFF"/>
        </w:rPr>
        <w:t>Yapılan açıklamadan da anlaşılacağı üzere, yargı mensuplarıyla ilgili tespit adli ya da idari bir soruşturmaya değil, fişleme bilgilerine dayanmaktadır. Zira hakkında işlem yapılacak kişi sayısının Teftiş Kurulu'ndan gelecek rapora göre artabileceğinin belirtilmesi ve açıklamanın yapıldığı tarih itibariyle tespit edildiği belirtilen beş bine yakın kişiyle ilgili bir soruşturma bulunmaması, bu işleme muhatap olacak kişilerin fişleme listelerine göre belirlendiğini göstermektedir. Ayrıca, Başkanvekilinin darbe teşebbüsünden aylar önce tespitini yaptıklarını belirttiği sayı ile 16 Temmuz 2016 tarihinde açığa alınıp sonrasında ihraç edilen hâkim-savcı sayısının aynı olması, ihracına karar verilen kişilerle ilgili listenin ve verilecek kararın aylar öncesinde hazır olduğunu ve bu kararın alınabilmesi için darbe teşebbüsünün beklendiğini göstermektedir.</w:t>
      </w:r>
    </w:p>
    <w:p w14:paraId="376FF87E" w14:textId="77777777" w:rsidR="00936167" w:rsidRPr="00A40242" w:rsidRDefault="00936167" w:rsidP="00936167">
      <w:pPr>
        <w:spacing w:before="120" w:after="120" w:line="240" w:lineRule="auto"/>
        <w:ind w:firstLine="567"/>
        <w:jc w:val="both"/>
        <w:rPr>
          <w:rFonts w:ascii="Palatino Linotype" w:hAnsi="Palatino Linotype" w:cstheme="minorHAnsi"/>
          <w:color w:val="222222"/>
          <w:sz w:val="21"/>
          <w:szCs w:val="21"/>
        </w:rPr>
      </w:pPr>
      <w:r w:rsidRPr="00A40242">
        <w:rPr>
          <w:rFonts w:ascii="Palatino Linotype" w:hAnsi="Palatino Linotype" w:cstheme="minorHAnsi"/>
          <w:sz w:val="21"/>
          <w:szCs w:val="21"/>
        </w:rPr>
        <w:lastRenderedPageBreak/>
        <w:t xml:space="preserve">Aynı şekilde, darbe teşebbüsünden iki ay önce yayımlanan bir köşe yazısında; </w:t>
      </w:r>
      <w:r w:rsidRPr="00A40242">
        <w:rPr>
          <w:rFonts w:ascii="Palatino Linotype" w:hAnsi="Palatino Linotype" w:cstheme="minorHAnsi"/>
          <w:i/>
          <w:sz w:val="21"/>
          <w:szCs w:val="21"/>
        </w:rPr>
        <w:t xml:space="preserve">“Adalet Bakanlığı uzun süredir yaptığı hazırlığı tamamladı. Önümüzdeki günlerde FETÖ'nün yargı ayağına karşı büyük bir operasyon gündemde. </w:t>
      </w:r>
      <w:r w:rsidRPr="00A40242">
        <w:rPr>
          <w:rStyle w:val="Gl"/>
          <w:rFonts w:ascii="Palatino Linotype" w:hAnsi="Palatino Linotype" w:cstheme="minorHAnsi"/>
          <w:i/>
          <w:sz w:val="21"/>
          <w:szCs w:val="21"/>
          <w:bdr w:val="none" w:sz="0" w:space="0" w:color="auto" w:frame="1"/>
        </w:rPr>
        <w:t>MİT'in uzun süreli titiz çalışması ile belirlenen FETÖ'ya mensup yüzlerce yargı mensubu sadece meslekten ihraç edilmeyecek aynı zamanda bazıları casusluk ithamı ile yargı önüne çıkarılacak.</w:t>
      </w:r>
      <w:r w:rsidRPr="00A40242">
        <w:rPr>
          <w:rFonts w:ascii="Palatino Linotype" w:hAnsi="Palatino Linotype" w:cstheme="minorHAnsi"/>
          <w:b/>
          <w:i/>
          <w:sz w:val="21"/>
          <w:szCs w:val="21"/>
        </w:rPr>
        <w:t xml:space="preserve"> </w:t>
      </w:r>
      <w:r w:rsidRPr="00A40242">
        <w:rPr>
          <w:rFonts w:ascii="Palatino Linotype" w:hAnsi="Palatino Linotype" w:cstheme="minorHAnsi"/>
          <w:i/>
          <w:sz w:val="21"/>
          <w:szCs w:val="21"/>
        </w:rPr>
        <w:t>Konuştuğum Adalet Bakanlığı yetkilisine göre Yargıtay ile Danıştay yeniden yapılandırılıyor. Buna göre yeni yapılanmada eski üyelerin pek çoğu görevine devam edemeyecek, bazıları ise örgüt üyeliği suçu ile sanık olacak. Dinlediğime göre HSYK'dan iki üye, casusluk suçu ile hakim önüne çıkacak. Keza açılacak örgüt davası ile Anayasa Mahkemesi’nde üye olan bazı isimler soruşturmaya dahil edilecek”</w:t>
      </w:r>
      <w:r w:rsidRPr="00A40242">
        <w:rPr>
          <w:rFonts w:ascii="Palatino Linotype" w:hAnsi="Palatino Linotype" w:cstheme="minorHAnsi"/>
          <w:color w:val="222222"/>
          <w:sz w:val="21"/>
          <w:szCs w:val="21"/>
        </w:rPr>
        <w:t xml:space="preserve"> denilmiştir.</w:t>
      </w:r>
      <w:r w:rsidRPr="00A40242">
        <w:rPr>
          <w:rStyle w:val="DipnotBavurusu"/>
          <w:rFonts w:ascii="Palatino Linotype" w:hAnsi="Palatino Linotype" w:cstheme="minorHAnsi"/>
          <w:color w:val="222222"/>
          <w:sz w:val="21"/>
          <w:szCs w:val="21"/>
        </w:rPr>
        <w:footnoteReference w:id="176"/>
      </w:r>
    </w:p>
    <w:p w14:paraId="5D9CBE1B" w14:textId="77777777" w:rsidR="00936167" w:rsidRPr="00A40242" w:rsidRDefault="00936167" w:rsidP="00936167">
      <w:pPr>
        <w:spacing w:before="120" w:after="120" w:line="240" w:lineRule="auto"/>
        <w:ind w:firstLine="567"/>
        <w:jc w:val="both"/>
        <w:rPr>
          <w:rFonts w:ascii="Palatino Linotype" w:hAnsi="Palatino Linotype" w:cstheme="minorHAnsi"/>
          <w:color w:val="222222"/>
          <w:sz w:val="21"/>
          <w:szCs w:val="21"/>
        </w:rPr>
      </w:pPr>
      <w:r w:rsidRPr="00A40242">
        <w:rPr>
          <w:rFonts w:ascii="Palatino Linotype" w:hAnsi="Palatino Linotype" w:cstheme="minorHAnsi"/>
          <w:sz w:val="21"/>
          <w:szCs w:val="21"/>
        </w:rPr>
        <w:t>Başkanvekillerinin açıklamaları, HSYK üyesinin mektubu ve basında çıkan haberler, ihraç listesinde yer alan kişilerle ilgili üç yıldır hukuka aykırı şekilde sistematik olarak fişleme yapıldığının</w:t>
      </w:r>
      <w:r w:rsidRPr="00A40242">
        <w:rPr>
          <w:rStyle w:val="DipnotBavurusu"/>
          <w:rFonts w:ascii="Palatino Linotype" w:hAnsi="Palatino Linotype" w:cstheme="minorHAnsi"/>
          <w:sz w:val="21"/>
          <w:szCs w:val="21"/>
        </w:rPr>
        <w:footnoteReference w:id="177"/>
      </w:r>
      <w:r w:rsidRPr="00A40242">
        <w:rPr>
          <w:rFonts w:ascii="Palatino Linotype" w:hAnsi="Palatino Linotype" w:cstheme="minorHAnsi"/>
          <w:sz w:val="21"/>
          <w:szCs w:val="21"/>
        </w:rPr>
        <w:t xml:space="preserve"> ve TCK'nın 134 ve devamı maddelerinde yer alan suçların işlendiğinin alenen en üst merciler tarafından itirafı ve ilgililerin özel hayat ve aile yaşamı haklarının ihlalinin</w:t>
      </w:r>
      <w:r w:rsidRPr="00A40242">
        <w:rPr>
          <w:rStyle w:val="DipnotBavurusu"/>
          <w:rFonts w:ascii="Palatino Linotype" w:hAnsi="Palatino Linotype" w:cstheme="minorHAnsi"/>
          <w:sz w:val="21"/>
          <w:szCs w:val="21"/>
        </w:rPr>
        <w:footnoteReference w:id="178"/>
      </w:r>
      <w:r w:rsidRPr="00A40242">
        <w:rPr>
          <w:rFonts w:ascii="Palatino Linotype" w:hAnsi="Palatino Linotype" w:cstheme="minorHAnsi"/>
          <w:sz w:val="21"/>
          <w:szCs w:val="21"/>
        </w:rPr>
        <w:t xml:space="preserve"> en önemli göstergesidir. </w:t>
      </w:r>
    </w:p>
    <w:p w14:paraId="613604D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Ayrıca, 16 Temmuz 2016 tarihinde açığa alınan yargı mensuplarının isim listesi incelendiğinde, listenin darbe teşebbüsünden aylar önce hazırlandığı anlaşılmaktadır. Zira, listede yer alan Ahmet B. ve Gürler D. olaydan aylar önce vefat etmiş, 2016 yılı ocak ayı itibariyle noterliğe başlayan Orhan Y., avukatlığa başlayan İbrahim K. ile daha önce meslekten ihraç edilen Mustafa B. ve Metin Ö. de açığa alınmış, bir kısım yargı mensubunun görev yeri olarak daha önce çalıştıkları mahaller gösterilmiştir. Yani, çok önceden hazırlanmış listelerde yer alan hâkim ve savcıların görevine son verebilmek için darbe teşebbüsünün gerçekleşmesi beklenmiştir. </w:t>
      </w:r>
      <w:r w:rsidRPr="00A40242">
        <w:rPr>
          <w:rStyle w:val="DipnotBavurusu"/>
          <w:rFonts w:ascii="Palatino Linotype" w:hAnsi="Palatino Linotype" w:cstheme="minorHAnsi"/>
          <w:sz w:val="21"/>
          <w:szCs w:val="21"/>
        </w:rPr>
        <w:footnoteReference w:id="179"/>
      </w:r>
    </w:p>
    <w:p w14:paraId="7063E585" w14:textId="77777777" w:rsidR="00936167" w:rsidRPr="00A40242" w:rsidRDefault="00936167" w:rsidP="00936167">
      <w:pPr>
        <w:spacing w:before="120" w:after="120" w:line="240" w:lineRule="auto"/>
        <w:ind w:firstLine="567"/>
        <w:jc w:val="both"/>
        <w:rPr>
          <w:rStyle w:val="DipnotBavurusu"/>
          <w:rFonts w:ascii="Palatino Linotype" w:hAnsi="Palatino Linotype" w:cstheme="minorHAnsi"/>
          <w:sz w:val="21"/>
          <w:szCs w:val="21"/>
        </w:rPr>
      </w:pPr>
      <w:r w:rsidRPr="00A40242">
        <w:rPr>
          <w:rFonts w:ascii="Palatino Linotype" w:hAnsi="Palatino Linotype" w:cstheme="minorHAnsi"/>
          <w:sz w:val="21"/>
          <w:szCs w:val="21"/>
        </w:rPr>
        <w:t>Kısaca, hukuka aykırı şekilde elde edilen bilgilerle özel yaşam hakkına yapılan müdahalenin izlenen meşru amaçla orantılı ve bunun demokratik bir toplumda gerekli olduğunu söylemek mümkün değildir.</w:t>
      </w:r>
      <w:r w:rsidRPr="00A40242">
        <w:rPr>
          <w:rStyle w:val="DipnotBavurusu"/>
          <w:rFonts w:ascii="Palatino Linotype" w:hAnsi="Palatino Linotype" w:cstheme="minorHAnsi"/>
          <w:sz w:val="21"/>
          <w:szCs w:val="21"/>
        </w:rPr>
        <w:t xml:space="preserve"> </w:t>
      </w:r>
      <w:r w:rsidRPr="00A40242">
        <w:rPr>
          <w:rStyle w:val="DipnotBavurusu"/>
          <w:rFonts w:ascii="Palatino Linotype" w:hAnsi="Palatino Linotype" w:cstheme="minorHAnsi"/>
          <w:sz w:val="21"/>
          <w:szCs w:val="21"/>
        </w:rPr>
        <w:footnoteReference w:id="180"/>
      </w:r>
    </w:p>
    <w:p w14:paraId="43691B7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595617">
        <w:rPr>
          <w:rStyle w:val="DipnotBavurusu"/>
          <w:rFonts w:ascii="Palatino Linotype" w:hAnsi="Palatino Linotype" w:cstheme="minorHAnsi"/>
          <w:sz w:val="21"/>
          <w:szCs w:val="21"/>
          <w:vertAlign w:val="baseline"/>
        </w:rPr>
        <w:t xml:space="preserve">Son olarak, </w:t>
      </w:r>
      <w:r w:rsidRPr="00595617">
        <w:rPr>
          <w:rFonts w:ascii="Palatino Linotype" w:hAnsi="Palatino Linotype" w:cstheme="minorHAnsi"/>
          <w:sz w:val="21"/>
          <w:szCs w:val="21"/>
        </w:rPr>
        <w:t>meslekten</w:t>
      </w:r>
      <w:r w:rsidRPr="00A40242">
        <w:rPr>
          <w:rFonts w:ascii="Palatino Linotype" w:hAnsi="Palatino Linotype" w:cstheme="minorHAnsi"/>
          <w:sz w:val="21"/>
          <w:szCs w:val="21"/>
        </w:rPr>
        <w:t xml:space="preserve"> çıkarılan yargı mensuplarının hususi damgalı pasaportlarının iptali seyahat özgürlüğünü düzenleyen AİHS'e Ek 4 No'lu Protokol'e de aykırılık oluşturmaktadır. </w:t>
      </w:r>
      <w:r w:rsidRPr="00A40242">
        <w:rPr>
          <w:rFonts w:ascii="Palatino Linotype" w:hAnsi="Palatino Linotype" w:cstheme="minorHAnsi"/>
          <w:sz w:val="21"/>
          <w:szCs w:val="21"/>
        </w:rPr>
        <w:lastRenderedPageBreak/>
        <w:t>Ancak, Türkiye'nin bu Protokol'e taraf olmaması nedeniyle bu hususun AİHM'e başvurularda ileri sürülebilmesi mümkün değildir. Fakat pasaportunun iptali nedeniyle bir kişinin yurtdışındaki eşinin yanına gidememesi halinde özel yaşam hakkının ihlali gündeme gelecektir.</w:t>
      </w:r>
      <w:r w:rsidRPr="00A40242">
        <w:rPr>
          <w:rStyle w:val="DipnotBavurusu1"/>
          <w:rFonts w:ascii="Palatino Linotype" w:hAnsi="Palatino Linotype" w:cstheme="minorHAnsi"/>
          <w:sz w:val="21"/>
          <w:szCs w:val="21"/>
        </w:rPr>
        <w:footnoteReference w:id="181"/>
      </w:r>
    </w:p>
    <w:p w14:paraId="324FCA0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b/>
          <w:sz w:val="21"/>
          <w:szCs w:val="21"/>
        </w:rPr>
        <w:t xml:space="preserve">iv. </w:t>
      </w:r>
      <w:r w:rsidRPr="00A40242">
        <w:rPr>
          <w:rFonts w:ascii="Palatino Linotype" w:hAnsi="Palatino Linotype" w:cstheme="minorHAnsi"/>
          <w:sz w:val="21"/>
          <w:szCs w:val="21"/>
        </w:rPr>
        <w:t>AİHM, Sacit Kayasu ve Ceylan/Türkiye</w:t>
      </w:r>
      <w:r w:rsidRPr="00A40242">
        <w:rPr>
          <w:rStyle w:val="DipnotBavurusu"/>
          <w:rFonts w:ascii="Palatino Linotype" w:hAnsi="Palatino Linotype" w:cstheme="minorHAnsi"/>
          <w:sz w:val="21"/>
          <w:szCs w:val="21"/>
        </w:rPr>
        <w:footnoteReference w:id="182"/>
      </w:r>
      <w:r w:rsidRPr="00A40242">
        <w:rPr>
          <w:rFonts w:ascii="Palatino Linotype" w:hAnsi="Palatino Linotype" w:cstheme="minorHAnsi"/>
          <w:sz w:val="21"/>
          <w:szCs w:val="21"/>
        </w:rPr>
        <w:t xml:space="preserve"> ve Baka/Macaristan kararlarında yargı mensuplarına verilen disiplin cezalarının diğer yargı mensupları üzerindeki caydırıcı etkisini dikkate alarak, disiplin yaptırımının demokratik toplum düzeninin gereklerine uymadığını belirtmiştir. Buna göre, bir yargı mensubuna uygulanan cezai yaptırım sadece ilgilisi üzerinde değil, yaptığı meslek ve meslektaşları üzerinde de </w:t>
      </w:r>
      <w:r w:rsidRPr="00A40242">
        <w:rPr>
          <w:rFonts w:ascii="Palatino Linotype" w:hAnsi="Palatino Linotype" w:cstheme="minorHAnsi"/>
          <w:i/>
          <w:sz w:val="21"/>
          <w:szCs w:val="21"/>
        </w:rPr>
        <w:t xml:space="preserve">"caydırıcı" </w:t>
      </w:r>
      <w:r w:rsidRPr="00A40242">
        <w:rPr>
          <w:rFonts w:ascii="Palatino Linotype" w:hAnsi="Palatino Linotype" w:cstheme="minorHAnsi"/>
          <w:sz w:val="21"/>
          <w:szCs w:val="21"/>
        </w:rPr>
        <w:t>ya da</w:t>
      </w:r>
      <w:r w:rsidRPr="00A40242">
        <w:rPr>
          <w:rFonts w:ascii="Palatino Linotype" w:hAnsi="Palatino Linotype" w:cstheme="minorHAnsi"/>
          <w:i/>
          <w:sz w:val="21"/>
          <w:szCs w:val="21"/>
        </w:rPr>
        <w:t xml:space="preserve"> "ürkütücü etki (chilling effect)"</w:t>
      </w:r>
      <w:r w:rsidRPr="00A40242">
        <w:rPr>
          <w:rFonts w:ascii="Palatino Linotype" w:hAnsi="Palatino Linotype" w:cstheme="minorHAnsi"/>
          <w:sz w:val="21"/>
          <w:szCs w:val="21"/>
        </w:rPr>
        <w:t xml:space="preserve"> yapar. Toplumun, her şartta adaletin gerçekleşeceğine inanması için hâkim ve savcıların hukuk devleti ilkelerini etkili şekilde temsil kapasitelerinin bulunduğuna inanması gerekir. Bu haliyle, verilen disiplin cezası yargı mensupları üzerinde görevlerini yaparken caydırıcı bir etki yapacağından kamu yararına uygun değildir.</w:t>
      </w:r>
      <w:r w:rsidRPr="00A40242">
        <w:rPr>
          <w:rStyle w:val="DipnotBavurusu"/>
          <w:rFonts w:ascii="Palatino Linotype" w:hAnsi="Palatino Linotype" w:cstheme="minorHAnsi"/>
          <w:sz w:val="21"/>
          <w:szCs w:val="21"/>
        </w:rPr>
        <w:footnoteReference w:id="183"/>
      </w:r>
    </w:p>
    <w:p w14:paraId="3A07071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HSYK kararında yer verilen hususların diğer hâkim-savcılar üzerinde caydırıcı etkisi olacağı çok açıktır. Örneğin, kararda belli unvanlarda ve idari görevlerde çalışmış olmak ihraç gerekçesi yapılmıştır. Oysaki bu kişiler kendi iradeleriyle değil, atama ya da görevlendirme suretiyle bu görevlerde bulunmuştur ve bu atama ve görevlendirmelerin büyük çoğunluğunu HSYK kendisi yapmıştır. Bu gerekçeyle yapılan ihraç, şu anda bu görevlerde bulunan ya da ileride bulunması muhtemel kişiler üzerinde olumsuz etki yapacaktır. Yine, kararda yer verilen ve tamamen özel hayata ilişkin hususlar ve daha önemlisi de bu hususların ne suretle ihraç gerekçesi yapıldığının belli olmaması da caydırıcı etkiyi arttıracak bir diğer husustur. Mesela </w:t>
      </w:r>
      <w:r w:rsidRPr="00A40242">
        <w:rPr>
          <w:rFonts w:ascii="Palatino Linotype" w:hAnsi="Palatino Linotype" w:cstheme="minorHAnsi"/>
          <w:i/>
          <w:sz w:val="21"/>
          <w:szCs w:val="21"/>
        </w:rPr>
        <w:t xml:space="preserve">"sosyal medya hesaplarındaki paylaşımları" </w:t>
      </w:r>
      <w:r w:rsidRPr="00A40242">
        <w:rPr>
          <w:rFonts w:ascii="Palatino Linotype" w:hAnsi="Palatino Linotype" w:cstheme="minorHAnsi"/>
          <w:sz w:val="21"/>
          <w:szCs w:val="21"/>
        </w:rPr>
        <w:t xml:space="preserve">ne suretle ihraç gerekçesi yapılmıştır ve ne tür paylaşımlarda bulunmak ihraç edilmemeyi garanti edebilir? Benzer şekilde, </w:t>
      </w:r>
      <w:r w:rsidRPr="00A40242">
        <w:rPr>
          <w:rFonts w:ascii="Palatino Linotype" w:hAnsi="Palatino Linotype" w:cstheme="minorHAnsi"/>
          <w:i/>
          <w:sz w:val="21"/>
          <w:szCs w:val="21"/>
        </w:rPr>
        <w:t>"sosyal çevre bilgileri"</w:t>
      </w:r>
      <w:r w:rsidRPr="00A40242">
        <w:rPr>
          <w:rFonts w:ascii="Palatino Linotype" w:hAnsi="Palatino Linotype" w:cstheme="minorHAnsi"/>
          <w:sz w:val="21"/>
          <w:szCs w:val="21"/>
        </w:rPr>
        <w:t xml:space="preserve"> hangi nedenle ihraç sebebidir ve nasıl bir sosyal çevrede yaşamak gerekir ki bu durum ihraç nedeni olmasın? Aynı şekilde, 667 sayılı KHK'ye dayanılarak alınan kararda yer verilen </w:t>
      </w:r>
      <w:r w:rsidRPr="00A40242">
        <w:rPr>
          <w:rFonts w:ascii="Palatino Linotype" w:hAnsi="Palatino Linotype" w:cstheme="minorHAnsi"/>
          <w:i/>
          <w:sz w:val="21"/>
          <w:szCs w:val="21"/>
        </w:rPr>
        <w:t>"iltisak"</w:t>
      </w:r>
      <w:r w:rsidRPr="00A40242">
        <w:rPr>
          <w:rFonts w:ascii="Palatino Linotype" w:hAnsi="Palatino Linotype" w:cstheme="minorHAnsi"/>
          <w:sz w:val="21"/>
          <w:szCs w:val="21"/>
        </w:rPr>
        <w:t xml:space="preserve"> veya </w:t>
      </w:r>
      <w:r w:rsidRPr="00A40242">
        <w:rPr>
          <w:rFonts w:ascii="Palatino Linotype" w:hAnsi="Palatino Linotype" w:cstheme="minorHAnsi"/>
          <w:i/>
          <w:sz w:val="21"/>
          <w:szCs w:val="21"/>
        </w:rPr>
        <w:t>"irtibat"</w:t>
      </w:r>
      <w:r w:rsidRPr="00A40242">
        <w:rPr>
          <w:rFonts w:ascii="Palatino Linotype" w:hAnsi="Palatino Linotype" w:cstheme="minorHAnsi"/>
          <w:sz w:val="21"/>
          <w:szCs w:val="21"/>
        </w:rPr>
        <w:t xml:space="preserve"> kavramlarının kapsamlarına neler girmektedir? Hukuki bir karşılığı olmayan ve istihbari nitelik taşıyan bu kavramlar ne suretle ihraca gerekçe yapılmıştır? Örneğin yeni tanıştığı meslektaşını sadece telefonla arayan bir yargı mensubu aradığı arkadaşından dolayı bir terör örgütü ile </w:t>
      </w:r>
      <w:r w:rsidRPr="00A40242">
        <w:rPr>
          <w:rFonts w:ascii="Palatino Linotype" w:hAnsi="Palatino Linotype" w:cstheme="minorHAnsi"/>
          <w:i/>
          <w:sz w:val="21"/>
          <w:szCs w:val="21"/>
        </w:rPr>
        <w:t xml:space="preserve">"irtibatlı" </w:t>
      </w:r>
      <w:r w:rsidRPr="00A40242">
        <w:rPr>
          <w:rFonts w:ascii="Palatino Linotype" w:hAnsi="Palatino Linotype" w:cstheme="minorHAnsi"/>
          <w:sz w:val="21"/>
          <w:szCs w:val="21"/>
        </w:rPr>
        <w:t xml:space="preserve">ya da </w:t>
      </w:r>
      <w:r w:rsidRPr="00A40242">
        <w:rPr>
          <w:rFonts w:ascii="Palatino Linotype" w:hAnsi="Palatino Linotype" w:cstheme="minorHAnsi"/>
          <w:i/>
          <w:sz w:val="21"/>
          <w:szCs w:val="21"/>
        </w:rPr>
        <w:t xml:space="preserve">"iltisaklı" </w:t>
      </w:r>
      <w:r w:rsidRPr="00A40242">
        <w:rPr>
          <w:rFonts w:ascii="Palatino Linotype" w:hAnsi="Palatino Linotype" w:cstheme="minorHAnsi"/>
          <w:sz w:val="21"/>
          <w:szCs w:val="21"/>
        </w:rPr>
        <w:t xml:space="preserve">sayılacak mıdır ve yargı mensupları yaşamlarının her alanında bu tedirginliği yaşamak zorunda mıdır? Bu soruların cevapları kararda bulunmamaktadır. Ayrıca, yargı mensuplarının verdikleri kararların ihraç gerekçesi yapılması bir başka sıkıntılı husustur. Zira idari bir kurum olan HSYK'nın yargı kararlarını değerlendirme yetkisi yoktur. Çünkü kararların temyiz ve itiraz mercileri vardır ve kararların hukukiliğini ve yerindeliğini denetleme yetkisi bu mercilere aittir. Yargı mensuplarının, verdikleri yargısal kararların idari bir kurul tarafından denetlendiğini ve bu hususun ihraç gerekçesi yapıldığını bilerek bağımsız ve tarafsız şekilde karar verebilmeleri mümkün değildir.  </w:t>
      </w:r>
    </w:p>
    <w:p w14:paraId="3AA74024"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Kararda yer verilen hususlar yargı mensupları üzerinde ciddi bir caydırıcı etkiye sahiptir ve yargı mensuplarının görevlerini kaybetmek korkusuyla hareket edecek olmaları Anayasa'nın 139. maddesinde düzenlenen hâkimlik-savcılık teminatına aykırıdır. Zira bu teminatla demokratik bir toplumun kilit unsuru olan yargının tarafsızlığı ve bağımsızlığının korunması amaçlanır ve bu teminat, hâkim-savcıların keyfi olarak meslekten çıkarılmalarını öngören müdahalelerin engellenmesini de güvence altına alır. Kısaca, yargı mensuplarının bundan sonra verecekleri kararlarda, sosyal ilişkilerinde ve özel hayatlarında bağımsız, tarafsız ve özel hayatın gizliliğinin gerektirdiği ölçülerde hareket edebilmeleri mümkün değildir.</w:t>
      </w:r>
    </w:p>
    <w:p w14:paraId="3D546F8F" w14:textId="77777777" w:rsidR="00936167" w:rsidRPr="00A40242" w:rsidRDefault="00936167" w:rsidP="00936167">
      <w:pPr>
        <w:spacing w:before="120" w:after="120" w:line="240" w:lineRule="auto"/>
        <w:ind w:firstLine="567"/>
        <w:jc w:val="both"/>
        <w:rPr>
          <w:rFonts w:ascii="Palatino Linotype" w:hAnsi="Palatino Linotype" w:cstheme="minorHAnsi"/>
          <w:i/>
          <w:sz w:val="21"/>
          <w:szCs w:val="21"/>
        </w:rPr>
      </w:pPr>
      <w:r w:rsidRPr="00A40242">
        <w:rPr>
          <w:rFonts w:ascii="Palatino Linotype" w:hAnsi="Palatino Linotype" w:cstheme="minorHAnsi"/>
          <w:sz w:val="21"/>
          <w:szCs w:val="21"/>
        </w:rPr>
        <w:lastRenderedPageBreak/>
        <w:t xml:space="preserve">AİHM'in bir yargı mensubunun meslekten çıkarılmasının bile diğerleri üzerinde caydırıcı etki doğurduğunu kabul etmesi karşısında, 4286 kişinin şablon gerekçelerle, bireyselleştirme yapılmadan ve hiçbir güvenceden yararlandırılmadan ihraç edilmelerinin diğer yargı mensupları üzerinde yapacağı caydırıcı etki ve AİHM'in bu konuda nasıl bir karar vereceği izahtan varestedir. Yine, caydırıcı etkiye 2016 yılı Avrupa Birliği'nin Türkiye ile ilgili ilerleme raporunda da yer verilmiş ve </w:t>
      </w:r>
      <w:r w:rsidRPr="00A40242">
        <w:rPr>
          <w:rFonts w:ascii="Palatino Linotype" w:hAnsi="Palatino Linotype" w:cstheme="minorHAnsi"/>
          <w:i/>
          <w:sz w:val="21"/>
          <w:szCs w:val="21"/>
        </w:rPr>
        <w:t>"hakim ve savcılar arasında yürütmenin çıkarlarını zedeleyecek herhangi bir adım atacak olanın kariyerinin olumsuz etkileneceği nedeniyle hakim ve savcılar arasında oto sansürün yayıldığı gözlenmiştir. Bugüne kadar 3390 hakim ve savcı uzaklaştırılmış ve bu kararlar bireysel incelemeye tabi tutulmamıştır"</w:t>
      </w:r>
      <w:r w:rsidRPr="00A40242">
        <w:rPr>
          <w:rStyle w:val="DipnotBavurusu1"/>
          <w:rFonts w:ascii="Palatino Linotype" w:hAnsi="Palatino Linotype" w:cstheme="minorHAnsi"/>
          <w:sz w:val="21"/>
          <w:szCs w:val="21"/>
        </w:rPr>
        <w:footnoteReference w:id="184"/>
      </w:r>
      <w:r w:rsidRPr="00A40242">
        <w:rPr>
          <w:rFonts w:ascii="Palatino Linotype" w:hAnsi="Palatino Linotype" w:cstheme="minorHAnsi"/>
          <w:sz w:val="21"/>
          <w:szCs w:val="21"/>
        </w:rPr>
        <w:t xml:space="preserve"> denilmiştir. Konuyla ilgili olarak Venedik Komisyonu'da şunları söylemiştir; </w:t>
      </w:r>
      <w:r w:rsidRPr="00A40242">
        <w:rPr>
          <w:rFonts w:ascii="Palatino Linotype" w:hAnsi="Palatino Linotype" w:cstheme="minorHAnsi"/>
          <w:i/>
          <w:sz w:val="21"/>
          <w:szCs w:val="21"/>
        </w:rPr>
        <w:t>"…yargı sistemi içinde veyahut da örneğin HSYK gibi yargı sisteminin idari organları içindeki her türlü görevden alma, olağanüstü halde bile titiz bir incelemeye tabi tutulmalıdır. Bu gibi görevden almalar sadece ilgili hâkimlerin şahsını etkilemez, aynı zamanda bütün olarak yargı sistemini de zayıflatır. Sonuç olarak bu gibi görevden almalar, yargı sistemi içinde bir “soğutma etkisi” (chilling effect) yaratarak diğer hâkimleri de bu gibi tedbirlere kendilerinin de maruz kalma korkusundan olağanüstü hal kanun hükmünde kararnameleri kapsamında alınan tedbirlerle ilgili aksi yönde karar verme konusunda isteksiz kılabilir. Bu tedbirlerin, yargının bağımsızlığı ve Devlet içinde güçler ayrılığının etkinliği üzerinde olumsuz etkileri olabilir. Bu nedenle de hâkimler açısından alınan tedbirlerin bu “kurumsal boyutuna” özel olarak dikkat edilmelidir."</w:t>
      </w:r>
      <w:r w:rsidRPr="00A40242">
        <w:rPr>
          <w:rStyle w:val="DipnotBavurusu"/>
          <w:rFonts w:ascii="Palatino Linotype" w:hAnsi="Palatino Linotype" w:cstheme="minorHAnsi"/>
          <w:sz w:val="21"/>
          <w:szCs w:val="21"/>
        </w:rPr>
        <w:footnoteReference w:id="185"/>
      </w:r>
    </w:p>
    <w:p w14:paraId="6B48898D" w14:textId="77777777" w:rsidR="00936167" w:rsidRPr="006A680F" w:rsidRDefault="00936167" w:rsidP="00936167">
      <w:pPr>
        <w:pStyle w:val="Balk2"/>
        <w:numPr>
          <w:ilvl w:val="0"/>
          <w:numId w:val="43"/>
        </w:numPr>
        <w:spacing w:before="120" w:after="120" w:line="240" w:lineRule="auto"/>
        <w:ind w:left="993" w:hanging="426"/>
        <w:rPr>
          <w:rFonts w:cstheme="minorHAnsi"/>
          <w:b/>
          <w:bCs/>
          <w:sz w:val="21"/>
          <w:szCs w:val="21"/>
        </w:rPr>
      </w:pPr>
      <w:bookmarkStart w:id="16" w:name="_Toc7451334"/>
      <w:r w:rsidRPr="006A680F">
        <w:rPr>
          <w:rFonts w:cstheme="minorHAnsi"/>
          <w:b/>
          <w:bCs/>
          <w:sz w:val="21"/>
          <w:szCs w:val="21"/>
        </w:rPr>
        <w:t>ETKİLİ BAŞVURU HAKKI AÇISINDAN KARARIN DEĞERLENDİRİLMESİ</w:t>
      </w:r>
      <w:bookmarkEnd w:id="16"/>
    </w:p>
    <w:p w14:paraId="58D1E6C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Etkili bir hukuk yoluna başvuru hakkı AİHS'in 13. ve Anayasa'nın 40. maddelerinde düzenlenmiştir. AİHS'in 13. maddesinde; </w:t>
      </w:r>
      <w:r w:rsidRPr="00A40242">
        <w:rPr>
          <w:rFonts w:ascii="Palatino Linotype" w:hAnsi="Palatino Linotype" w:cstheme="minorHAnsi"/>
          <w:i/>
          <w:sz w:val="21"/>
          <w:szCs w:val="21"/>
        </w:rPr>
        <w:t>"bu Sözleşme'de tanınmış olan hak ve özgürlükleri ihlal edilen herkes, ihlal fiili resmi görev yapan kimseler tarafından bu sıfatlarına dayanılarak yapılmış da olsa, ulusal bir makama etkili bir başvuru yapabilme hakkına sahiptir"</w:t>
      </w:r>
      <w:r w:rsidRPr="00A40242">
        <w:rPr>
          <w:rFonts w:ascii="Palatino Linotype" w:hAnsi="Palatino Linotype" w:cstheme="minorHAnsi"/>
          <w:sz w:val="21"/>
          <w:szCs w:val="21"/>
        </w:rPr>
        <w:t xml:space="preserve"> ifadesine, Anayasa'nın 40. maddesinde de; </w:t>
      </w:r>
      <w:r w:rsidRPr="00A40242">
        <w:rPr>
          <w:rFonts w:ascii="Palatino Linotype" w:hAnsi="Palatino Linotype" w:cstheme="minorHAnsi"/>
          <w:i/>
          <w:sz w:val="21"/>
          <w:szCs w:val="21"/>
        </w:rPr>
        <w:t xml:space="preserve">"Anayasa ile tanınmış hak ve hürriyetleri ihlal eden herkes, yetkili makama geciktirilmeden başvurma imkânının sağlanmasını isteme hakkına sahiptir" </w:t>
      </w:r>
      <w:r w:rsidRPr="00A40242">
        <w:rPr>
          <w:rFonts w:ascii="Palatino Linotype" w:hAnsi="Palatino Linotype" w:cstheme="minorHAnsi"/>
          <w:sz w:val="21"/>
          <w:szCs w:val="21"/>
        </w:rPr>
        <w:t xml:space="preserve">ifadesine yer verilmiştir. Madde metinlerinden de anlaşıldığı üzere, Anayasa'da yetkili makama </w:t>
      </w:r>
      <w:r w:rsidRPr="00A40242">
        <w:rPr>
          <w:rFonts w:ascii="Palatino Linotype" w:hAnsi="Palatino Linotype" w:cstheme="minorHAnsi"/>
          <w:i/>
          <w:sz w:val="21"/>
          <w:szCs w:val="21"/>
        </w:rPr>
        <w:t xml:space="preserve">"geciktirilmeden" </w:t>
      </w:r>
      <w:r w:rsidRPr="00A40242">
        <w:rPr>
          <w:rFonts w:ascii="Palatino Linotype" w:hAnsi="Palatino Linotype" w:cstheme="minorHAnsi"/>
          <w:sz w:val="21"/>
          <w:szCs w:val="21"/>
        </w:rPr>
        <w:t xml:space="preserve">başvuru hakkına yer verilmişken, Sözleşme'de ulusal bir makama </w:t>
      </w:r>
      <w:r w:rsidRPr="00A40242">
        <w:rPr>
          <w:rFonts w:ascii="Palatino Linotype" w:hAnsi="Palatino Linotype" w:cstheme="minorHAnsi"/>
          <w:i/>
          <w:sz w:val="21"/>
          <w:szCs w:val="21"/>
        </w:rPr>
        <w:t>"etkili başvuru"</w:t>
      </w:r>
      <w:r w:rsidRPr="00A40242">
        <w:rPr>
          <w:rFonts w:ascii="Palatino Linotype" w:hAnsi="Palatino Linotype" w:cstheme="minorHAnsi"/>
          <w:sz w:val="21"/>
          <w:szCs w:val="21"/>
        </w:rPr>
        <w:t xml:space="preserve"> hakkına yer verilmiştir. Ancak, Anayasa'da yer verilen </w:t>
      </w:r>
      <w:r w:rsidRPr="00A40242">
        <w:rPr>
          <w:rFonts w:ascii="Palatino Linotype" w:hAnsi="Palatino Linotype" w:cstheme="minorHAnsi"/>
          <w:i/>
          <w:sz w:val="21"/>
          <w:szCs w:val="21"/>
        </w:rPr>
        <w:t>"geciktirilmeden"</w:t>
      </w:r>
      <w:r w:rsidRPr="00A40242">
        <w:rPr>
          <w:rFonts w:ascii="Palatino Linotype" w:hAnsi="Palatino Linotype" w:cstheme="minorHAnsi"/>
          <w:sz w:val="21"/>
          <w:szCs w:val="21"/>
        </w:rPr>
        <w:t xml:space="preserve"> ifadesi etkili başvurunun doğal bir sonucudur.</w:t>
      </w:r>
      <w:r w:rsidRPr="00A40242">
        <w:rPr>
          <w:rStyle w:val="DipnotBavurusu1"/>
          <w:rFonts w:ascii="Palatino Linotype" w:hAnsi="Palatino Linotype" w:cstheme="minorHAnsi"/>
          <w:sz w:val="21"/>
          <w:szCs w:val="21"/>
        </w:rPr>
        <w:footnoteReference w:id="186"/>
      </w:r>
    </w:p>
    <w:p w14:paraId="079014A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Bir kişi, Sözleşme'de yer alan hakların ihlaliyle ilgili iddiasının karara bağlanabilmesi için bir makama başvuramıyorsa, insan haklarıyla ilgili koruma sisteminin etkin bir güvence sunduğu söylenemez. Sözleşme'nin 13. maddesi diğer maddelerden ayrı ve bağımsız bir madde olmayıp, ancak Sözleşme'nin başka bir maddesi ile birlikte ileri sürülebilir.</w:t>
      </w:r>
      <w:r w:rsidRPr="00A40242">
        <w:rPr>
          <w:rStyle w:val="DipnotBavurusu1"/>
          <w:rFonts w:ascii="Palatino Linotype" w:hAnsi="Palatino Linotype" w:cstheme="minorHAnsi"/>
          <w:sz w:val="21"/>
          <w:szCs w:val="21"/>
        </w:rPr>
        <w:footnoteReference w:id="187"/>
      </w:r>
      <w:r w:rsidRPr="00A40242">
        <w:rPr>
          <w:rFonts w:ascii="Palatino Linotype" w:hAnsi="Palatino Linotype" w:cstheme="minorHAnsi"/>
          <w:sz w:val="21"/>
          <w:szCs w:val="21"/>
        </w:rPr>
        <w:t xml:space="preserve"> AİHM'e göre 13. madde, Sözleşme'ye aykırı olduğunu iddia ettiği bir tasarruftan zarar gören kişinin hem iddialarıyla ilgili bir kararın verilmesini, hem de mümkün olması halinde karşılık ödenmesini sağlamak amacıyla ulusal makamlar nezdinde hukuki bir yola başvuru hakkını ihtiva eder.</w:t>
      </w:r>
      <w:r w:rsidRPr="00A40242">
        <w:rPr>
          <w:rStyle w:val="DipnotBavurusu1"/>
          <w:rFonts w:ascii="Palatino Linotype" w:hAnsi="Palatino Linotype" w:cstheme="minorHAnsi"/>
          <w:sz w:val="21"/>
          <w:szCs w:val="21"/>
        </w:rPr>
        <w:footnoteReference w:id="188"/>
      </w:r>
    </w:p>
    <w:p w14:paraId="3D7402E9"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AİHS'in 13. maddesi, bir kişinin haklı ya da haksız her iddiası yönünden bir başvuru yolunun bulunmasını gerektirmez. Bu iddianın savunulabilir nitelikte ve belli bir ciddiyette olması gerekir.</w:t>
      </w:r>
      <w:r w:rsidRPr="00A40242">
        <w:rPr>
          <w:rStyle w:val="DipnotBavurusu1"/>
          <w:rFonts w:ascii="Palatino Linotype" w:hAnsi="Palatino Linotype" w:cstheme="minorHAnsi"/>
          <w:sz w:val="21"/>
          <w:szCs w:val="21"/>
        </w:rPr>
        <w:footnoteReference w:id="189"/>
      </w:r>
      <w:r w:rsidRPr="00A40242">
        <w:rPr>
          <w:rFonts w:ascii="Palatino Linotype" w:hAnsi="Palatino Linotype" w:cstheme="minorHAnsi"/>
          <w:sz w:val="21"/>
          <w:szCs w:val="21"/>
        </w:rPr>
        <w:t xml:space="preserve"> Madde gereğince etkili hukuk yoluna başvuru yapılması için gerekli olan makam ulusal makamlardır. İlgili makamların 13. maddede belirtilen nitelikte olup olmadığı o </w:t>
      </w:r>
      <w:r w:rsidRPr="00A40242">
        <w:rPr>
          <w:rFonts w:ascii="Palatino Linotype" w:hAnsi="Palatino Linotype" w:cstheme="minorHAnsi"/>
          <w:sz w:val="21"/>
          <w:szCs w:val="21"/>
        </w:rPr>
        <w:lastRenderedPageBreak/>
        <w:t>makam tarafından sunulan güvencelere ve makamın yetkilerine bağlıdır.</w:t>
      </w:r>
      <w:r w:rsidRPr="00A40242">
        <w:rPr>
          <w:rStyle w:val="DipnotBavurusu1"/>
          <w:rFonts w:ascii="Palatino Linotype" w:hAnsi="Palatino Linotype" w:cstheme="minorHAnsi"/>
          <w:sz w:val="21"/>
          <w:szCs w:val="21"/>
        </w:rPr>
        <w:footnoteReference w:id="190"/>
      </w:r>
      <w:r w:rsidRPr="00A40242">
        <w:rPr>
          <w:rFonts w:ascii="Palatino Linotype" w:hAnsi="Palatino Linotype" w:cstheme="minorHAnsi"/>
          <w:sz w:val="21"/>
          <w:szCs w:val="21"/>
        </w:rPr>
        <w:t>AİHM'e göre, ulusal makam şikâyete konu eylem ve işlemi yapan kurum veya kişiden bağımsız olmalıdır.</w:t>
      </w:r>
      <w:r w:rsidRPr="00A40242">
        <w:rPr>
          <w:rStyle w:val="DipnotBavurusu1"/>
          <w:rFonts w:ascii="Palatino Linotype" w:hAnsi="Palatino Linotype" w:cstheme="minorHAnsi"/>
          <w:sz w:val="21"/>
          <w:szCs w:val="21"/>
        </w:rPr>
        <w:footnoteReference w:id="191"/>
      </w:r>
    </w:p>
    <w:p w14:paraId="26A074B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Kişilerin 13. madde kapsamında başvuru yapabilmeleri için iç hukuk yollarını tüketmeleri gerekir. Bu durum Sözleşme'ye dayalı başvurunun ikincil niteliğinden kaynaklanır. Bu nitelik gereği Sözleşme'de yer verilen hak ve özgürlükleri teminat altına alma görevi öncelikle ulusal makamlara aittir ve bu nedenle ilgili devlete başvuruya konu olayla ilgili kendi hukuk sistemi içinde bir inceleme ve düzeltme imkânı verilmelidir.</w:t>
      </w:r>
      <w:r w:rsidRPr="00A40242">
        <w:rPr>
          <w:rStyle w:val="DipnotBavurusu1"/>
          <w:rFonts w:ascii="Palatino Linotype" w:hAnsi="Palatino Linotype" w:cstheme="minorHAnsi"/>
          <w:sz w:val="21"/>
          <w:szCs w:val="21"/>
        </w:rPr>
        <w:footnoteReference w:id="192"/>
      </w:r>
    </w:p>
    <w:p w14:paraId="74AB7D87" w14:textId="77777777" w:rsidR="00936167" w:rsidRPr="00A40242" w:rsidRDefault="00936167" w:rsidP="00936167">
      <w:pPr>
        <w:spacing w:before="120" w:after="120" w:line="240" w:lineRule="auto"/>
        <w:ind w:firstLine="567"/>
        <w:jc w:val="both"/>
        <w:rPr>
          <w:rFonts w:ascii="Palatino Linotype" w:hAnsi="Palatino Linotype" w:cstheme="minorHAnsi"/>
          <w:color w:val="FF0000"/>
          <w:sz w:val="21"/>
          <w:szCs w:val="21"/>
        </w:rPr>
      </w:pPr>
      <w:r w:rsidRPr="00A40242">
        <w:rPr>
          <w:rFonts w:ascii="Palatino Linotype" w:hAnsi="Palatino Linotype" w:cstheme="minorHAnsi"/>
          <w:sz w:val="21"/>
          <w:szCs w:val="21"/>
        </w:rPr>
        <w:t>AİHM ve AYM'ye başvuru yapılmadan önce tüketilmesi gereken iç hukuk yolunun erişilebilir, etkin ve yeterli olması, yani bu yolun hem teori hem de pratikte bulunması gerekir. İç hukuk yolunun başarı şansı yoksa ya da bu yola başvuru bir makamın takdirine bağlıysa veya gerçekleştirilmesi zor koşullara bağlanmışsa bu yolun kişiler için erişilebilirliğinden söz edilemez. Bu konuya en güzel örnek, ceza yargılamasında yer alan karar düzeltme (itiraz) yoludur. Zira bu yolun tüketilebilmesi için Yargıtay Cumhuriyet Başsavcısının bu yöndeki isteği kabulü gerekir.</w:t>
      </w:r>
      <w:r w:rsidRPr="00A40242">
        <w:rPr>
          <w:rStyle w:val="DipnotBavurusu1"/>
          <w:rFonts w:ascii="Palatino Linotype" w:hAnsi="Palatino Linotype" w:cstheme="minorHAnsi"/>
          <w:sz w:val="21"/>
          <w:szCs w:val="21"/>
        </w:rPr>
        <w:footnoteReference w:id="193"/>
      </w:r>
    </w:p>
    <w:p w14:paraId="71FBA27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Yukarıdaki açıklamalar ışığında HSYK kararının değerlendirilmesi gerekirse; kararda konuyu ilgilendiren husus, HSYK kararında yer verilen </w:t>
      </w:r>
      <w:r w:rsidRPr="00A40242">
        <w:rPr>
          <w:rFonts w:ascii="Palatino Linotype" w:hAnsi="Palatino Linotype" w:cstheme="minorHAnsi"/>
          <w:i/>
          <w:sz w:val="21"/>
          <w:szCs w:val="21"/>
        </w:rPr>
        <w:t>"yeniden inceleme"</w:t>
      </w:r>
      <w:r w:rsidRPr="00A40242">
        <w:rPr>
          <w:rFonts w:ascii="Palatino Linotype" w:hAnsi="Palatino Linotype" w:cstheme="minorHAnsi"/>
          <w:sz w:val="21"/>
          <w:szCs w:val="21"/>
        </w:rPr>
        <w:t xml:space="preserve"> hakkıdır. </w:t>
      </w:r>
    </w:p>
    <w:p w14:paraId="5D93D9BC"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AİHM, hâkim ve savcılar hakkında verilen ihraç kararlarına karşı mutlaka mahkemeye başvuru hakkı tanınmasının zorunlu olmadığını, ancak karara karşı en azından itiraz edebilecekleri bir merciin bulunması ve bu merciinin de kararı veren makamdan farklı, tarafsız ve bağımsız olması gerektiğini belirtmektedir. Türkiye ile ilgili verdiği kararlarında ise başvurucuların itirazlarını inceleyecek Kurul'da yer alan üyelerin ihraç kararını veren kişiler olduğunu ve mevzuatta bu kişilerin tarafsızlığını sağlayacak herhangi bir teminata yer verilmediğini belirterek 13. maddenin ihlaline karar vermiştir.</w:t>
      </w:r>
      <w:r w:rsidRPr="00A40242">
        <w:rPr>
          <w:rStyle w:val="DipnotBavurusu1"/>
          <w:rFonts w:ascii="Palatino Linotype" w:hAnsi="Palatino Linotype" w:cstheme="minorHAnsi"/>
          <w:sz w:val="21"/>
          <w:szCs w:val="21"/>
        </w:rPr>
        <w:footnoteReference w:id="194"/>
      </w:r>
    </w:p>
    <w:p w14:paraId="0C14F7E9" w14:textId="77777777" w:rsidR="00936167" w:rsidRPr="00A40242" w:rsidRDefault="00936167" w:rsidP="00936167">
      <w:pPr>
        <w:spacing w:before="120" w:after="120" w:line="240" w:lineRule="auto"/>
        <w:ind w:firstLine="567"/>
        <w:jc w:val="both"/>
        <w:rPr>
          <w:rFonts w:ascii="Palatino Linotype" w:hAnsi="Palatino Linotype" w:cstheme="minorHAnsi"/>
          <w:b/>
          <w:sz w:val="21"/>
          <w:szCs w:val="21"/>
        </w:rPr>
      </w:pPr>
      <w:r w:rsidRPr="00A40242">
        <w:rPr>
          <w:rFonts w:ascii="Palatino Linotype" w:hAnsi="Palatino Linotype" w:cstheme="minorHAnsi"/>
          <w:sz w:val="21"/>
          <w:szCs w:val="21"/>
        </w:rPr>
        <w:t>Çalışmaya konu kararın HSYK Genel Kurulu tarafından oybirliği ile verilmesi ve yeniden incelemenin yine Genel Kurul tarafından yapılması nedeniyle HSYK'nın tarafsızlığı tartışmaya açıktır. Ayrıca, 6087 sayılı Kanun'da yeniden inceleme yapacak üyelerin tarafsızlığını güvence altına alacak hiçbir hususa yer verilmemiştir. Kaldı ki, kendi üyelerinden beşini meslekten çıkarmış olması HSYK'nın yeniden inceleme taleplerini tarafsız olarak inceleyemeyeceğine ilişkin ciddi bir karine ve 13. maddenin ihlali yönünden savunulabilir bir iddia olabilirdi,</w:t>
      </w:r>
      <w:r w:rsidRPr="00A40242">
        <w:rPr>
          <w:rStyle w:val="DipnotBavurusu1"/>
          <w:rFonts w:ascii="Palatino Linotype" w:hAnsi="Palatino Linotype" w:cstheme="minorHAnsi"/>
          <w:sz w:val="21"/>
          <w:szCs w:val="21"/>
        </w:rPr>
        <w:footnoteReference w:id="195"/>
      </w:r>
      <w:r w:rsidRPr="00A40242">
        <w:rPr>
          <w:rFonts w:ascii="Palatino Linotype" w:hAnsi="Palatino Linotype" w:cstheme="minorHAnsi"/>
          <w:sz w:val="21"/>
          <w:szCs w:val="21"/>
        </w:rPr>
        <w:t xml:space="preserve"> ancak 685 sayılı OHAL KHK'si ile HSYK kararına karşı Danıştay'a dava açma hakkı tanındığından yargı mensuplarının etkili başvuru yapabilmelerinin önündeki engel kalkmıştır.</w:t>
      </w:r>
    </w:p>
    <w:p w14:paraId="1B776DBA" w14:textId="77777777" w:rsidR="00936167" w:rsidRPr="00595617" w:rsidRDefault="00936167" w:rsidP="00936167">
      <w:pPr>
        <w:pStyle w:val="Balk2"/>
        <w:numPr>
          <w:ilvl w:val="0"/>
          <w:numId w:val="43"/>
        </w:numPr>
        <w:spacing w:before="120" w:after="120" w:line="240" w:lineRule="auto"/>
        <w:ind w:left="993" w:hanging="426"/>
        <w:rPr>
          <w:rFonts w:cstheme="minorHAnsi"/>
          <w:b/>
          <w:bCs/>
          <w:sz w:val="21"/>
          <w:szCs w:val="21"/>
        </w:rPr>
      </w:pPr>
      <w:bookmarkStart w:id="17" w:name="_Toc7451335"/>
      <w:r w:rsidRPr="00595617">
        <w:rPr>
          <w:rFonts w:cstheme="minorHAnsi"/>
          <w:b/>
          <w:bCs/>
          <w:sz w:val="21"/>
          <w:szCs w:val="21"/>
        </w:rPr>
        <w:t>AYRIMCILIK YASAĞI AÇISINDAN KARARIN DEĞERLENDİRİLMESİ</w:t>
      </w:r>
      <w:bookmarkEnd w:id="17"/>
    </w:p>
    <w:p w14:paraId="4FB9485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Ayrımcılık yasağı AİHS'in 14. maddesinde şu şekilde düzenlenmiştir; "</w:t>
      </w:r>
      <w:r w:rsidRPr="00A40242">
        <w:rPr>
          <w:rFonts w:ascii="Palatino Linotype" w:hAnsi="Palatino Linotype" w:cstheme="minorHAnsi"/>
          <w:i/>
          <w:sz w:val="21"/>
          <w:szCs w:val="21"/>
        </w:rPr>
        <w:t xml:space="preserve">bu sözleşmede tanınan hak ve özgürlüklerden yararlanma, cinsiyet, ırk, renk, din, dil, siyasal veya diğer kanaatler, ulusal veya sosyal köken, ulusal bir azınlığa mensupluk, servet, doğum veya herhangi başka bir durum bakımından </w:t>
      </w:r>
      <w:r w:rsidRPr="00A40242">
        <w:rPr>
          <w:rFonts w:ascii="Palatino Linotype" w:hAnsi="Palatino Linotype" w:cstheme="minorHAnsi"/>
          <w:i/>
          <w:sz w:val="21"/>
          <w:szCs w:val="21"/>
        </w:rPr>
        <w:lastRenderedPageBreak/>
        <w:t xml:space="preserve">hiçbir ayrımcılık yapılmadan sağlanır." </w:t>
      </w:r>
      <w:r w:rsidRPr="00A40242">
        <w:rPr>
          <w:rFonts w:ascii="Palatino Linotype" w:hAnsi="Palatino Linotype" w:cstheme="minorHAnsi"/>
          <w:sz w:val="21"/>
          <w:szCs w:val="21"/>
        </w:rPr>
        <w:t>Anayasa'da ise ayrımcılık yasağıyla ilgili bir tanıma yer verilmemiş ve AYM bu yasak yerine eşitlik ilkesini tanımlama yoluna gitmiştir.</w:t>
      </w:r>
      <w:r w:rsidRPr="00A40242">
        <w:rPr>
          <w:rStyle w:val="DipnotBavurusu1"/>
          <w:rFonts w:ascii="Palatino Linotype" w:hAnsi="Palatino Linotype" w:cstheme="minorHAnsi"/>
          <w:sz w:val="21"/>
          <w:szCs w:val="21"/>
        </w:rPr>
        <w:footnoteReference w:id="196"/>
      </w:r>
    </w:p>
    <w:p w14:paraId="121A292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Ayrımcılık yasağı Sözleşme'de tanımlanan ayrı bir hak değildir ve yalnızca Sözleşme'de yer verilen hak ve özgürlüklerden yararlanma açısından ayrımcılık yasaklanmıştır. Başvuruya konu olay Sözleşme'deki haklardan en az birinin kapsamına girmiyorsa 14. maddenin o olaya tatbiki mümkün değildir. Bununla birlikte, başvuruyla ilgili ihlal kararı verilmese bile, aynı hakkın 14. madde ile bağlantılı olarak incelenmesi neticesinde o hakka yönelik müdahalenin ayrımcılık oluşturduğu ve bu yasağın ihlal edildiği sonucuna varılabilir. Başka bir deyişle, 14. maddenin ihlali sonucuna varılabilmesi için Sözleşme'de yer verilen hakkın da ihlal edilmesi şart değildir.</w:t>
      </w:r>
      <w:r w:rsidRPr="00A40242">
        <w:rPr>
          <w:rStyle w:val="DipnotBavurusu1"/>
          <w:rFonts w:ascii="Palatino Linotype" w:hAnsi="Palatino Linotype" w:cstheme="minorHAnsi"/>
          <w:sz w:val="21"/>
          <w:szCs w:val="21"/>
        </w:rPr>
        <w:footnoteReference w:id="197"/>
      </w:r>
    </w:p>
    <w:p w14:paraId="10A958F8"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Ayrımcılık, AİHM içtihatlarında nesnel ve kabul edilebilir bir neden bulunmaksızın aynı durumdaki şahıslara farklı muamelede bulunulmasıdır.</w:t>
      </w:r>
      <w:r w:rsidRPr="00A40242">
        <w:rPr>
          <w:rStyle w:val="DipnotBavurusu1"/>
          <w:rFonts w:ascii="Palatino Linotype" w:hAnsi="Palatino Linotype" w:cstheme="minorHAnsi"/>
          <w:sz w:val="21"/>
          <w:szCs w:val="21"/>
        </w:rPr>
        <w:footnoteReference w:id="198"/>
      </w:r>
      <w:r w:rsidRPr="00A40242">
        <w:rPr>
          <w:rFonts w:ascii="Palatino Linotype" w:hAnsi="Palatino Linotype" w:cstheme="minorHAnsi"/>
          <w:sz w:val="21"/>
          <w:szCs w:val="21"/>
        </w:rPr>
        <w:t xml:space="preserve"> Diğer bir ifadeyle, bir konuda yapılan farklı muameleler nesnel ve makul nedenlere dayanmıyorsa, yani meşru bir amaç taşımıyorsa veya ulaşılmak istenen amaç ile kullanılan araçlar arasında makul bir orantı yoksa bu durum eşit muamele ilkesinin ihlaline neden olur.</w:t>
      </w:r>
      <w:r w:rsidRPr="00A40242">
        <w:rPr>
          <w:rStyle w:val="DipnotBavurusu1"/>
          <w:rFonts w:ascii="Palatino Linotype" w:hAnsi="Palatino Linotype" w:cstheme="minorHAnsi"/>
          <w:sz w:val="21"/>
          <w:szCs w:val="21"/>
        </w:rPr>
        <w:footnoteReference w:id="199"/>
      </w:r>
      <w:r w:rsidRPr="00A40242">
        <w:rPr>
          <w:rFonts w:ascii="Palatino Linotype" w:hAnsi="Palatino Linotype" w:cstheme="minorHAnsi"/>
          <w:sz w:val="21"/>
          <w:szCs w:val="21"/>
        </w:rPr>
        <w:t xml:space="preserve"> Bu yasak, aynı durumda olanların eşit muameleye tabi olmamaları halinde ortaya çıkan "</w:t>
      </w:r>
      <w:r w:rsidRPr="00A40242">
        <w:rPr>
          <w:rFonts w:ascii="Palatino Linotype" w:hAnsi="Palatino Linotype" w:cstheme="minorHAnsi"/>
          <w:i/>
          <w:sz w:val="21"/>
          <w:szCs w:val="21"/>
        </w:rPr>
        <w:t>doğrudan ayrımcılık"</w:t>
      </w:r>
      <w:r w:rsidRPr="00A40242">
        <w:rPr>
          <w:rFonts w:ascii="Palatino Linotype" w:hAnsi="Palatino Linotype" w:cstheme="minorHAnsi"/>
          <w:sz w:val="21"/>
          <w:szCs w:val="21"/>
        </w:rPr>
        <w:t xml:space="preserve"> ve farklı durumda bulunanlara aynı muamele edilmesi halinde ortaya çıkan </w:t>
      </w:r>
      <w:r w:rsidRPr="00A40242">
        <w:rPr>
          <w:rFonts w:ascii="Palatino Linotype" w:hAnsi="Palatino Linotype" w:cstheme="minorHAnsi"/>
          <w:i/>
          <w:sz w:val="21"/>
          <w:szCs w:val="21"/>
        </w:rPr>
        <w:t xml:space="preserve">"dolaylı ayrımcılık" </w:t>
      </w:r>
      <w:r w:rsidRPr="00A40242">
        <w:rPr>
          <w:rFonts w:ascii="Palatino Linotype" w:hAnsi="Palatino Linotype" w:cstheme="minorHAnsi"/>
          <w:sz w:val="21"/>
          <w:szCs w:val="21"/>
        </w:rPr>
        <w:t xml:space="preserve"> olarak ikiye ayrılır.</w:t>
      </w:r>
      <w:r w:rsidRPr="00A40242">
        <w:rPr>
          <w:rStyle w:val="DipnotBavurusu1"/>
          <w:rFonts w:ascii="Palatino Linotype" w:hAnsi="Palatino Linotype" w:cstheme="minorHAnsi"/>
          <w:sz w:val="21"/>
          <w:szCs w:val="21"/>
        </w:rPr>
        <w:footnoteReference w:id="200"/>
      </w:r>
    </w:p>
    <w:p w14:paraId="4BC6E47B"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Doğrudan ayrımcılık, bir kişiye herhangi bir konuyla ilgili diğer kişilerden daha az lehe olacak şekilde davranılması ve benzer durumdaki kişilere yapılan muamelelerde </w:t>
      </w:r>
      <w:r w:rsidRPr="00A40242">
        <w:rPr>
          <w:rFonts w:ascii="Palatino Linotype" w:hAnsi="Palatino Linotype" w:cstheme="minorHAnsi"/>
          <w:i/>
          <w:sz w:val="21"/>
          <w:szCs w:val="21"/>
        </w:rPr>
        <w:t>"belirlenebilir bir özelliğe dayalı farklılık bulunmasıdır."</w:t>
      </w:r>
      <w:r w:rsidRPr="00A40242">
        <w:rPr>
          <w:rFonts w:ascii="Palatino Linotype" w:hAnsi="Palatino Linotype" w:cstheme="minorHAnsi"/>
          <w:sz w:val="21"/>
          <w:szCs w:val="21"/>
        </w:rPr>
        <w:t xml:space="preserve"> Başka bir ifadeyle, bu ayrımcılığın temelinde bir şahsın diğerlerinden farklı bir muameleye tabi tutulması yatar ve en önemli özelliği bireyin istemediği bir muameleye maruz bırakılmasıdır.</w:t>
      </w:r>
      <w:r w:rsidRPr="00A40242">
        <w:rPr>
          <w:rStyle w:val="DipnotBavurusu1"/>
          <w:rFonts w:ascii="Palatino Linotype" w:hAnsi="Palatino Linotype" w:cstheme="minorHAnsi"/>
          <w:sz w:val="21"/>
          <w:szCs w:val="21"/>
        </w:rPr>
        <w:footnoteReference w:id="201"/>
      </w:r>
    </w:p>
    <w:p w14:paraId="283819F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Dolaylı ayrımcılık ise, görünüş itibariyle ayrımcı olmayan uygulamalar ve işlemler nedeniyle bir şahıs ya da topluluğun haklardan yararlanma açısından aleyhe ve avantajsız bir duruma düşürülmesidir. Örneğin, oy kullanmak için bazı kriterlerin arandığı durumlarda bu kriterler herkes için geçerlidir. Ancak, bu uygulama nedeniyle bazı kişiler oy kullanamaz hale gelirse dolaylı ayrımcılık söz konusu olur.</w:t>
      </w:r>
      <w:r w:rsidRPr="00A40242">
        <w:rPr>
          <w:rStyle w:val="DipnotBavurusu1"/>
          <w:rFonts w:ascii="Palatino Linotype" w:hAnsi="Palatino Linotype" w:cstheme="minorHAnsi"/>
          <w:sz w:val="21"/>
          <w:szCs w:val="21"/>
        </w:rPr>
        <w:footnoteReference w:id="202"/>
      </w:r>
    </w:p>
    <w:p w14:paraId="0B4956C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Ayrımcılık yasağında ispat külfeti devlete ait olup, başvurucunun farklı bir muameleye tabi tutulduğunu iddia etmesi halinde bu muamelenin haklılığını ispat yükü hükümettedir.</w:t>
      </w:r>
      <w:r w:rsidRPr="00A40242">
        <w:rPr>
          <w:rStyle w:val="DipnotBavurusu1"/>
          <w:rFonts w:ascii="Palatino Linotype" w:hAnsi="Palatino Linotype" w:cstheme="minorHAnsi"/>
          <w:sz w:val="21"/>
          <w:szCs w:val="21"/>
        </w:rPr>
        <w:footnoteReference w:id="203"/>
      </w:r>
      <w:r w:rsidRPr="00A40242">
        <w:rPr>
          <w:rFonts w:ascii="Palatino Linotype" w:hAnsi="Palatino Linotype" w:cstheme="minorHAnsi"/>
          <w:sz w:val="21"/>
          <w:szCs w:val="21"/>
        </w:rPr>
        <w:t xml:space="preserve"> Ancak, ayrımcılığa uğradığını iddia eden kişinin bu iddiasını delil başlangıcı olarak kabul edilebilecek bazı kanıtlarla ortaya koyması gerekir. Mahkeme, ortaya konulan delillerle ilgili ispat külfetinin hükümete geçmesi için serbest delil ve ispat ilkesini benimsemiştir. Başka bir ifadeyle, ileri sürülen kanıtlar, kesin ipuçları ve karinelere dayanabileceği gibi özel bir sonuca </w:t>
      </w:r>
      <w:r w:rsidRPr="00A40242">
        <w:rPr>
          <w:rFonts w:ascii="Palatino Linotype" w:hAnsi="Palatino Linotype" w:cstheme="minorHAnsi"/>
          <w:sz w:val="21"/>
          <w:szCs w:val="21"/>
        </w:rPr>
        <w:lastRenderedPageBreak/>
        <w:t>varmak için belli bir kanaat derecesinde de olabilir.</w:t>
      </w:r>
      <w:r w:rsidRPr="00A40242">
        <w:rPr>
          <w:rStyle w:val="DipnotBavurusu1"/>
          <w:rFonts w:ascii="Palatino Linotype" w:hAnsi="Palatino Linotype" w:cstheme="minorHAnsi"/>
          <w:sz w:val="21"/>
          <w:szCs w:val="21"/>
        </w:rPr>
        <w:footnoteReference w:id="204"/>
      </w:r>
      <w:r w:rsidRPr="00A40242">
        <w:rPr>
          <w:rFonts w:ascii="Palatino Linotype" w:hAnsi="Palatino Linotype" w:cstheme="minorHAnsi"/>
          <w:sz w:val="21"/>
          <w:szCs w:val="21"/>
        </w:rPr>
        <w:t xml:space="preserve"> Mahkeme bir kararında, ayrımcı muameleye tabi tutulan kişinin iddialarını istatistiki veriler de dâhil her türlü delille kanıtlama imkânına sahip olduğunu belirtmiştir.</w:t>
      </w:r>
      <w:r w:rsidRPr="00A40242">
        <w:rPr>
          <w:rStyle w:val="DipnotBavurusu1"/>
          <w:rFonts w:ascii="Palatino Linotype" w:hAnsi="Palatino Linotype" w:cstheme="minorHAnsi"/>
          <w:sz w:val="21"/>
          <w:szCs w:val="21"/>
        </w:rPr>
        <w:footnoteReference w:id="205"/>
      </w:r>
      <w:r w:rsidRPr="00A40242">
        <w:rPr>
          <w:rFonts w:ascii="Palatino Linotype" w:hAnsi="Palatino Linotype" w:cstheme="minorHAnsi"/>
          <w:sz w:val="21"/>
          <w:szCs w:val="21"/>
        </w:rPr>
        <w:t xml:space="preserve"> Kısaca, başvurucu bir tedbirin ya da işlemin bir insan grubuna diğerlerine oranla daha aleyhe uygulandığını ortaya koyabilirse ayrımcılık karinesi doğar ve ispat yükümlülüğü devlete aittir. Bu durumda devlet, ortaya konan karine ya da delil başlangıcının yerinde olmadığını ve bunun haklı bir nedene dayandığını ispatlamalıdır.</w:t>
      </w:r>
      <w:r w:rsidRPr="00A40242">
        <w:rPr>
          <w:rStyle w:val="DipnotBavurusu1"/>
          <w:rFonts w:ascii="Palatino Linotype" w:hAnsi="Palatino Linotype" w:cstheme="minorHAnsi"/>
          <w:sz w:val="21"/>
          <w:szCs w:val="21"/>
        </w:rPr>
        <w:footnoteReference w:id="206"/>
      </w:r>
    </w:p>
    <w:p w14:paraId="1791CFCE" w14:textId="77777777" w:rsidR="00936167" w:rsidRPr="00A40242" w:rsidRDefault="00936167" w:rsidP="00936167">
      <w:pPr>
        <w:spacing w:before="120" w:after="120" w:line="240" w:lineRule="auto"/>
        <w:ind w:firstLine="567"/>
        <w:jc w:val="both"/>
        <w:rPr>
          <w:rStyle w:val="DipnotBavurusu1"/>
          <w:rFonts w:ascii="Palatino Linotype" w:hAnsi="Palatino Linotype" w:cstheme="minorHAnsi"/>
          <w:sz w:val="21"/>
          <w:szCs w:val="21"/>
        </w:rPr>
      </w:pPr>
      <w:r w:rsidRPr="00A40242">
        <w:rPr>
          <w:rFonts w:ascii="Palatino Linotype" w:hAnsi="Palatino Linotype" w:cstheme="minorHAnsi"/>
          <w:sz w:val="21"/>
          <w:szCs w:val="21"/>
        </w:rPr>
        <w:t>Bu açıklamalar ışığında HSYK'nın kararını değerlendirmek gerekirse; darbe teşebbüsünün devam ettiği 16 Temmuz 2016 gecesi saat 03.00'te Ankara Cumhuriyet Başsavcı vekili NTV Televizyonuna bağlanarak darbe teşebbüsü ile ilgili 3000 civarında hâkim-savcı ile 200'e yakın yüksek yargıç, bazı HSYK ve AYM üyeleri hakkında gözaltı kararı verildiğini belirtmiş ve açıklamanın ardından 16 Temmuz 2016 Cumartesi günü belirtilen sayıda yargı mensubu görevden uzaklaştırılmış ve haklarında gözaltı kararı verilip tutuklanmıştır. Burada, darbe gecesi bu kadar yargı mensubunun terör örgütü olduğu iddia edilen bir yapıyla irtibatlı olduğunun nasıl anlaşıldığı, daha darbe teşebbüsü bile bertaraf edilmeden bir tatil gününde bu sayıda yargı mensubunun hangi delile dayanılarak görevinden uzaklaştırıldığı sorusu akla gelmektedir. Bu sorunun cevabının 2014 yılında yapılan HSYK seçimleri öncesi ve sonrası yaşanan olaylar bağlamında verilmesinin isabetli olacağı düşünülmektedir. Zira söz konusu seçimde hükümetin desteklediği Yargıda Birlik Platformu (YBP) ile YARSAV ve bu ikisinden ayrı olarak kendilerini bağımsız olarak adlandıran adaylar yarışmış ve seçimi YBP adayları kazanmıştır. Ancak, bağımsız adaylardan birkaçı da üye seçilmeyi başarmıştır. 16 Temmuz 2016 tarihinde görevden uzaklaştırılan yargı mensupları arasında YARSAV'ın 1400 üyesinden 750'si, Yargı-Sen Derneği'ne mensup birçok yargı mensubuyla, HSYK üyesi seçilen ve seçilemeyen bağımsız adaylar yer almış, ancak YBP üyesi neredeyse hiçbir yargı mensubu görevden uzaklaştırılmamıştır.</w:t>
      </w:r>
      <w:r w:rsidRPr="00A40242">
        <w:rPr>
          <w:rStyle w:val="DipnotBavurusu1"/>
          <w:rFonts w:ascii="Palatino Linotype" w:hAnsi="Palatino Linotype" w:cstheme="minorHAnsi"/>
          <w:sz w:val="21"/>
          <w:szCs w:val="21"/>
        </w:rPr>
        <w:footnoteReference w:id="207"/>
      </w:r>
      <w:r w:rsidRPr="00A40242">
        <w:rPr>
          <w:rFonts w:ascii="Palatino Linotype" w:hAnsi="Palatino Linotype" w:cstheme="minorHAnsi"/>
          <w:sz w:val="21"/>
          <w:szCs w:val="21"/>
        </w:rPr>
        <w:t xml:space="preserve"> Yine, 2016 Avrupa Birliği İlerleme Raporunda yer verildiği üzere,</w:t>
      </w:r>
      <w:r w:rsidRPr="00A40242">
        <w:rPr>
          <w:rStyle w:val="DipnotBavurusu1"/>
          <w:rFonts w:ascii="Palatino Linotype" w:hAnsi="Palatino Linotype" w:cstheme="minorHAnsi"/>
          <w:sz w:val="21"/>
          <w:szCs w:val="21"/>
        </w:rPr>
        <w:footnoteReference w:id="208"/>
      </w:r>
      <w:r w:rsidRPr="00A40242">
        <w:rPr>
          <w:rFonts w:ascii="Palatino Linotype" w:hAnsi="Palatino Linotype" w:cstheme="minorHAnsi"/>
          <w:sz w:val="21"/>
          <w:szCs w:val="21"/>
        </w:rPr>
        <w:t xml:space="preserve"> bağımsız görüşleriyle bilinen YARSAV OHAL KHK'si ile kapatılmış ve başkanı da tutuklanmıştır.</w:t>
      </w:r>
      <w:r w:rsidRPr="00A40242">
        <w:rPr>
          <w:rStyle w:val="DipnotBavurusu"/>
          <w:rFonts w:ascii="Palatino Linotype" w:hAnsi="Palatino Linotype" w:cstheme="minorHAnsi"/>
          <w:sz w:val="21"/>
          <w:szCs w:val="21"/>
        </w:rPr>
        <w:footnoteReference w:id="209"/>
      </w:r>
    </w:p>
    <w:p w14:paraId="4FDDD35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Yukarıda değinildiği üzere verilen kararın gerekçesi mesleki nedenler olmayıp, yargı mensuplarının özel hayatlarına ilişkin hususlardır. Kararın, ihraç edilenlerin HSYK'nın yeni yapısının şekillenmesinde önemli rol oynayan YBP'yi desteklemedikleri için verildiği çok açıktır ve bu kararla, ihraç edilen yargı mensuplarına diğer yargı mensuplarından farklı muamele edilerek ayrımcılık yapılmıştır.</w:t>
      </w:r>
    </w:p>
    <w:p w14:paraId="0C00E78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Yargı mensuplarının HSYK seçimlerinde oy kullanması Anayasa'nın 159. maddesi ile getirilen ve 67. maddesinde </w:t>
      </w:r>
      <w:r w:rsidRPr="00A40242">
        <w:rPr>
          <w:rFonts w:ascii="Palatino Linotype" w:hAnsi="Palatino Linotype" w:cstheme="minorHAnsi"/>
          <w:i/>
          <w:sz w:val="21"/>
          <w:szCs w:val="21"/>
        </w:rPr>
        <w:t xml:space="preserve">"seçme ve seçilme hakkı" </w:t>
      </w:r>
      <w:r w:rsidRPr="00A40242">
        <w:rPr>
          <w:rFonts w:ascii="Palatino Linotype" w:hAnsi="Palatino Linotype" w:cstheme="minorHAnsi"/>
          <w:sz w:val="21"/>
          <w:szCs w:val="21"/>
        </w:rPr>
        <w:t xml:space="preserve">olarak güvence altına alınan Anayasal bir haktır. Söz konusu hak aynı zamanda AİHS'in 9., 10., 14. maddeleri ile AİHS'e Ek 1 ve 12 No’lu Protokollerle de güvence altına alınmıştır. Bir yargı mensubunun HSYK seçimlerinde bazı adaylar için fikir beyan etmesi, yargı bağımsızlığını savunacağını düşündüğü adayları desteklemesi ve hatta desteklediği adaylar lehine seçim çalışmaları yürütmesi kendisine tanınan </w:t>
      </w:r>
      <w:r w:rsidRPr="00A40242">
        <w:rPr>
          <w:rFonts w:ascii="Palatino Linotype" w:hAnsi="Palatino Linotype" w:cstheme="minorHAnsi"/>
          <w:sz w:val="21"/>
          <w:szCs w:val="21"/>
        </w:rPr>
        <w:lastRenderedPageBreak/>
        <w:t>anayasal hakkın kullanılmasından başka bir şey değildir. HSYK seçimlerinde kimlerin aday olabileceği ve adaylık şartları yasal olarak düzenlenmiş olup adaylık başvurusu ve seçime ilişkin diğer işlemler Yüksek Seçim Kurulu (YSK) tarafından yerine getirilmektedir. Yargı mensupları, adaylar arasından özgür iradelerine, dünya görüşlerine, düşünce ve kanaatlerine</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göre bir kısım adayları tercih etmişlerdir. Seçimde kimlerin hangi adayı desteklediğinin araştırılması, araştırmanın ötesinde bu hususun ihraç gerekçesi ve silahlı terör örgütü üyeliği suçunun delili yapılması ayrımcılık yasağının en somut örneği ve suçlamanın hukuka aykırı ve siyasi olduğunun en önemli göstergesidir. Ayrıca, anayasal bir hakkın suç tanımı kapsamında değerlendirilmesi kanunsuz suç ve ceza olmaz ve suç ve cezaların şahsiliği</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 xml:space="preserve">ilkelerine de aykırıdır. </w:t>
      </w:r>
    </w:p>
    <w:p w14:paraId="19BFE23E" w14:textId="77777777" w:rsidR="00936167" w:rsidRPr="00A40242" w:rsidRDefault="00936167" w:rsidP="00936167">
      <w:pPr>
        <w:spacing w:before="120" w:after="120" w:line="240" w:lineRule="auto"/>
        <w:ind w:firstLine="567"/>
        <w:jc w:val="both"/>
        <w:rPr>
          <w:rFonts w:ascii="Palatino Linotype" w:hAnsi="Palatino Linotype" w:cstheme="minorHAnsi"/>
          <w:b/>
          <w:bCs/>
          <w:sz w:val="21"/>
          <w:szCs w:val="21"/>
        </w:rPr>
      </w:pPr>
      <w:r w:rsidRPr="00A40242">
        <w:rPr>
          <w:rFonts w:ascii="Palatino Linotype" w:hAnsi="Palatino Linotype" w:cstheme="minorHAnsi"/>
          <w:sz w:val="21"/>
          <w:szCs w:val="21"/>
        </w:rPr>
        <w:t>Konuyla ilgili HSYK Başkanvekili Mehmet Yılmaz 15/12/2016 tarihinde yaptığı açıklamada; “.</w:t>
      </w:r>
      <w:r w:rsidRPr="00A40242">
        <w:rPr>
          <w:rFonts w:ascii="Palatino Linotype" w:hAnsi="Palatino Linotype" w:cstheme="minorHAnsi"/>
          <w:i/>
          <w:iCs/>
          <w:sz w:val="21"/>
          <w:szCs w:val="21"/>
        </w:rPr>
        <w:t>..diyorlar ki batılı dostlarımız, nereden bu üç bin dört bin hakim birden bire çete mensubu diye çıktı? Arkadaşlar, 2014 seçiminde biz aday olduğumuzda yargının bütün bileşenleri bir araya geldik, kendilerini bağımsız grup diye adlandıran ve bağımsız aday olan on bir kişi bu teşkilattan 3 bin 500'e yakın tam oy aldı. Bunu hiçbir şey başaramaz. İşte size örgüt. 11'de 11 bağımsız adaylara oy verildi ve onlar kendilerine o kadar güveniyorlardı ki, seçimi alacaklarına o kadar inanmışlardı ki, hiç kimse ile dayanışmadan tek başlarına yürüdüler. Sonuç ne oldu? Bütün bileşenler bir araya gelmemize rağmen 300 oy farkıyla seçimi alabildik. İşte yargıda o kadar güçlülerdi. Biz batılı dostlarımıza bunu anlatamıyoruz</w:t>
      </w:r>
      <w:r w:rsidRPr="00A40242">
        <w:rPr>
          <w:rFonts w:ascii="Palatino Linotype" w:hAnsi="Palatino Linotype" w:cstheme="minorHAnsi"/>
          <w:sz w:val="21"/>
          <w:szCs w:val="21"/>
        </w:rPr>
        <w:t>” demiştir.</w:t>
      </w:r>
      <w:r w:rsidRPr="00A40242">
        <w:rPr>
          <w:rStyle w:val="DipnotBavurusu"/>
          <w:rFonts w:ascii="Palatino Linotype" w:hAnsi="Palatino Linotype" w:cstheme="minorHAnsi"/>
          <w:sz w:val="21"/>
          <w:szCs w:val="21"/>
        </w:rPr>
        <w:footnoteReference w:id="210"/>
      </w:r>
    </w:p>
    <w:p w14:paraId="71572C14"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Başkanvekilinin ifadelerinden anlaşılacağı üzere, 2014 yılında yapılan HSYK seçiminde </w:t>
      </w:r>
      <w:r w:rsidRPr="00A40242">
        <w:rPr>
          <w:rFonts w:ascii="Palatino Linotype" w:hAnsi="Palatino Linotype" w:cstheme="minorHAnsi"/>
          <w:i/>
          <w:sz w:val="21"/>
          <w:szCs w:val="21"/>
        </w:rPr>
        <w:t xml:space="preserve">“yargının bütün bileşenleri” </w:t>
      </w:r>
      <w:r w:rsidRPr="00A40242">
        <w:rPr>
          <w:rFonts w:ascii="Palatino Linotype" w:hAnsi="Palatino Linotype" w:cstheme="minorHAnsi"/>
          <w:sz w:val="21"/>
          <w:szCs w:val="21"/>
        </w:rPr>
        <w:t xml:space="preserve">olarak tarif edilen YBP adaylarına oy vermeyen herkes örgüt üyesi olarak kabul edilmiş ve YBP'yi desteklemeyenler bunun cezasını meslekten ihraç edilerek ödemiştir. Kendilerini bağımsız olarak adlandıran kişilere verilen oy sayısından, seçimi kazandıkları oy farkına kadar her ayrıntının seçimin üzerinden iki yıldan fazla zaman geçmesine rağmen Başkanvekili tarafından hatırlanıyor olması göstermektedir ki, gizli olan ve YSK tarafından yapılan HSYK seçiminde kullanılan oyların dağılımı ve kimlerin hangi adaya oy verdiğiyle ilgili sistematik araştırma yapılmış ve oluşturulan fişleme listelerinde YBP'ye destek vermediği düşünülen kişiler meslekten çıkarılmıştır. Başka bir ifadeyle, ihraç edilen hakim-savcılarla ilgili YBP'ye oy vermemek gibi </w:t>
      </w:r>
      <w:r w:rsidRPr="00A40242">
        <w:rPr>
          <w:rFonts w:ascii="Palatino Linotype" w:hAnsi="Palatino Linotype" w:cstheme="minorHAnsi"/>
          <w:i/>
          <w:sz w:val="21"/>
          <w:szCs w:val="21"/>
        </w:rPr>
        <w:t xml:space="preserve">“belirlenebilir bir özelliğe dayalı” </w:t>
      </w:r>
      <w:r w:rsidRPr="00A40242">
        <w:rPr>
          <w:rFonts w:ascii="Palatino Linotype" w:hAnsi="Palatino Linotype" w:cstheme="minorHAnsi"/>
          <w:sz w:val="21"/>
          <w:szCs w:val="21"/>
        </w:rPr>
        <w:t xml:space="preserve">olarak </w:t>
      </w:r>
      <w:r w:rsidRPr="00A40242">
        <w:rPr>
          <w:rFonts w:ascii="Palatino Linotype" w:hAnsi="Palatino Linotype" w:cstheme="minorHAnsi"/>
          <w:i/>
          <w:sz w:val="21"/>
          <w:szCs w:val="21"/>
        </w:rPr>
        <w:t xml:space="preserve">“doğrudan ayrımcılık” </w:t>
      </w:r>
      <w:r w:rsidRPr="00A40242">
        <w:rPr>
          <w:rFonts w:ascii="Palatino Linotype" w:hAnsi="Palatino Linotype" w:cstheme="minorHAnsi"/>
          <w:sz w:val="21"/>
          <w:szCs w:val="21"/>
        </w:rPr>
        <w:t>yapılmış ve bu suretle, bu kişilerin AİHS'in 8. maddesiyle bağlantılı olarak 14. maddedeki hakları da ihlal edilmiştir.</w:t>
      </w:r>
    </w:p>
    <w:p w14:paraId="3842E703" w14:textId="77777777" w:rsidR="00936167" w:rsidRPr="00A40242" w:rsidRDefault="00936167" w:rsidP="00936167">
      <w:pPr>
        <w:spacing w:before="120" w:after="120" w:line="240" w:lineRule="auto"/>
        <w:ind w:firstLine="567"/>
        <w:jc w:val="both"/>
        <w:rPr>
          <w:rFonts w:ascii="Palatino Linotype" w:hAnsi="Palatino Linotype" w:cstheme="minorHAnsi"/>
          <w:color w:val="FF0000"/>
          <w:sz w:val="21"/>
          <w:szCs w:val="21"/>
        </w:rPr>
      </w:pPr>
      <w:r w:rsidRPr="00A40242">
        <w:rPr>
          <w:rFonts w:ascii="Palatino Linotype" w:hAnsi="Palatino Linotype" w:cstheme="minorHAnsi"/>
          <w:sz w:val="21"/>
          <w:szCs w:val="21"/>
        </w:rPr>
        <w:t>Bu hususları doğrulayan en önemli gösterge, ünvanlı görevler olan başsavcı ve mahkeme başkanlarının tamamına yakınının YBP üyesi olması ve YBP üyesi olmayanların bu görevlere atanamamalarıdır.</w:t>
      </w:r>
      <w:r w:rsidRPr="00A40242">
        <w:rPr>
          <w:rStyle w:val="DipnotBavurusu"/>
          <w:rFonts w:ascii="Palatino Linotype" w:hAnsi="Palatino Linotype" w:cstheme="minorHAnsi"/>
          <w:sz w:val="21"/>
          <w:szCs w:val="21"/>
        </w:rPr>
        <w:footnoteReference w:id="211"/>
      </w:r>
      <w:r w:rsidRPr="00A40242">
        <w:rPr>
          <w:rFonts w:ascii="Palatino Linotype" w:hAnsi="Palatino Linotype" w:cstheme="minorHAnsi"/>
          <w:sz w:val="21"/>
          <w:szCs w:val="21"/>
        </w:rPr>
        <w:t xml:space="preserve"> </w:t>
      </w:r>
    </w:p>
    <w:p w14:paraId="79A53FB8" w14:textId="77777777" w:rsidR="00936167" w:rsidRPr="00A40242" w:rsidRDefault="00936167" w:rsidP="00936167">
      <w:pPr>
        <w:spacing w:before="120" w:after="120" w:line="240" w:lineRule="auto"/>
        <w:ind w:firstLine="567"/>
        <w:jc w:val="both"/>
        <w:rPr>
          <w:rFonts w:ascii="Palatino Linotype" w:eastAsia="Times New Roman" w:hAnsi="Palatino Linotype" w:cstheme="minorHAnsi"/>
          <w:sz w:val="21"/>
          <w:szCs w:val="21"/>
        </w:rPr>
      </w:pPr>
      <w:r w:rsidRPr="00A40242">
        <w:rPr>
          <w:rFonts w:ascii="Palatino Linotype" w:hAnsi="Palatino Linotype" w:cstheme="minorHAnsi"/>
          <w:sz w:val="21"/>
          <w:szCs w:val="21"/>
        </w:rPr>
        <w:t xml:space="preserve">Yine, </w:t>
      </w:r>
      <w:r w:rsidRPr="00A40242">
        <w:rPr>
          <w:rFonts w:ascii="Palatino Linotype" w:eastAsia="Times New Roman" w:hAnsi="Palatino Linotype" w:cstheme="minorHAnsi"/>
          <w:sz w:val="21"/>
          <w:szCs w:val="21"/>
        </w:rPr>
        <w:t xml:space="preserve">Anayasa'nın 70. maddesinde kamu hizmetlerine girme hakkı düzenlenmiş olup, madde de; </w:t>
      </w:r>
      <w:r w:rsidRPr="00A40242">
        <w:rPr>
          <w:rFonts w:ascii="Palatino Linotype" w:eastAsia="Times New Roman" w:hAnsi="Palatino Linotype" w:cstheme="minorHAnsi"/>
          <w:i/>
          <w:sz w:val="21"/>
          <w:szCs w:val="21"/>
        </w:rPr>
        <w:t>"her Türk, kamu hizmetlerine girme hakkına sahiptir, hizmete alınmada, görevin gerektirdiği niteliklerden başka hiç bir ayırım gözetilemez."</w:t>
      </w:r>
      <w:r w:rsidRPr="00A40242">
        <w:rPr>
          <w:rFonts w:ascii="Palatino Linotype" w:eastAsia="Times New Roman" w:hAnsi="Palatino Linotype" w:cstheme="minorHAnsi"/>
          <w:sz w:val="21"/>
          <w:szCs w:val="21"/>
        </w:rPr>
        <w:t xml:space="preserve"> denilmiştir. Madde metninden de anlaşılacağı üzere, kamu hizmetine girme hakkı yönünden vatandaşlar arasında bir ayrım yapılmamış, görevin gerektirdiği niteliklere sahip olmak bu haktan yararlanmak için yeterli sayılmış ve bu suretle Anayasa'nın 10. maddesinde düzenlenen </w:t>
      </w:r>
      <w:r w:rsidRPr="00A40242">
        <w:rPr>
          <w:rFonts w:ascii="Palatino Linotype" w:eastAsia="Times New Roman" w:hAnsi="Palatino Linotype" w:cstheme="minorHAnsi"/>
          <w:i/>
          <w:sz w:val="21"/>
          <w:szCs w:val="21"/>
        </w:rPr>
        <w:t>"kanun önünde eşitlik"</w:t>
      </w:r>
      <w:r w:rsidRPr="00A40242">
        <w:rPr>
          <w:rFonts w:ascii="Palatino Linotype" w:eastAsia="Times New Roman" w:hAnsi="Palatino Linotype" w:cstheme="minorHAnsi"/>
          <w:sz w:val="21"/>
          <w:szCs w:val="21"/>
        </w:rPr>
        <w:t xml:space="preserve"> ilkesine uygun bir düzenleme yapılmıştır. Görevlerinden kaynaklı anayasal ve yasal güvencelerinin bulunması nedeniyle yargı mensuplarının meslekten çıkarılmaları Anayasa'da ve 2802 sayılı Yasa'da oldukça sıkı şartlara bağlanmıştır. Ancak, HSYK'nın ihraç kararından önce Yasa'da öngörülen soruşturma ve kovuşturma usulünün hiç birine uyulmadığı gibi, Yasa'daki güvencelerin hiçbirisi hâkim ve </w:t>
      </w:r>
      <w:r w:rsidRPr="00A40242">
        <w:rPr>
          <w:rFonts w:ascii="Palatino Linotype" w:eastAsia="Times New Roman" w:hAnsi="Palatino Linotype" w:cstheme="minorHAnsi"/>
          <w:sz w:val="21"/>
          <w:szCs w:val="21"/>
        </w:rPr>
        <w:lastRenderedPageBreak/>
        <w:t xml:space="preserve">savcılara sunulamamış ve normal bir devlet memuruna tanınan </w:t>
      </w:r>
      <w:r w:rsidRPr="00A40242">
        <w:rPr>
          <w:rFonts w:ascii="Palatino Linotype" w:eastAsia="Times New Roman" w:hAnsi="Palatino Linotype" w:cstheme="minorHAnsi"/>
          <w:i/>
          <w:sz w:val="21"/>
          <w:szCs w:val="21"/>
        </w:rPr>
        <w:t>"savunma alınmadan ceza verilmeyeceği"</w:t>
      </w:r>
      <w:r w:rsidRPr="00A40242">
        <w:rPr>
          <w:rFonts w:ascii="Palatino Linotype" w:eastAsia="Times New Roman" w:hAnsi="Palatino Linotype" w:cstheme="minorHAnsi"/>
          <w:sz w:val="21"/>
          <w:szCs w:val="21"/>
        </w:rPr>
        <w:t xml:space="preserve"> ilkesine dahi riayet edilmemiştir. Ayrıca, olağanüstü bir tedbir kabul edilen ihraç kararının OHAL kalktıktan sonra da devam etmesi, görevden çıkarmaları kamu hizmetine girme hakkını sürekli şekilde ortadan kaldıran bir niteliğe büründürmüştür.</w:t>
      </w:r>
      <w:r w:rsidRPr="00A40242">
        <w:rPr>
          <w:rStyle w:val="DipnotBavurusu"/>
          <w:rFonts w:ascii="Palatino Linotype" w:eastAsia="Times New Roman" w:hAnsi="Palatino Linotype" w:cstheme="minorHAnsi"/>
          <w:sz w:val="21"/>
          <w:szCs w:val="21"/>
        </w:rPr>
        <w:footnoteReference w:id="212"/>
      </w:r>
      <w:r w:rsidRPr="00A40242">
        <w:rPr>
          <w:rFonts w:ascii="Palatino Linotype" w:eastAsia="Times New Roman" w:hAnsi="Palatino Linotype" w:cstheme="minorHAnsi"/>
          <w:sz w:val="21"/>
          <w:szCs w:val="21"/>
        </w:rPr>
        <w:t> Başka bir ifadeyle, verilen karar yargı mensuplarının savunma haklarıyla bağlantılı olarak adil yargılanma haklarının ihlaline ve benzer durumda bulunanlardan farklı bir muameleye tabi tutulmaları sebebiyle de ayrımcılığa uğramalarına neden olmuştur.</w:t>
      </w:r>
    </w:p>
    <w:p w14:paraId="538A69AF" w14:textId="77777777" w:rsidR="00936167" w:rsidRPr="00A40242" w:rsidRDefault="00936167" w:rsidP="00936167">
      <w:pPr>
        <w:spacing w:before="120" w:after="120" w:line="240" w:lineRule="auto"/>
        <w:ind w:firstLine="567"/>
        <w:jc w:val="both"/>
        <w:rPr>
          <w:rFonts w:ascii="Palatino Linotype" w:hAnsi="Palatino Linotype" w:cstheme="minorHAnsi"/>
          <w:b/>
          <w:color w:val="FF0000"/>
          <w:sz w:val="21"/>
          <w:szCs w:val="21"/>
        </w:rPr>
      </w:pPr>
      <w:r w:rsidRPr="00A40242">
        <w:rPr>
          <w:rFonts w:ascii="Palatino Linotype" w:hAnsi="Palatino Linotype" w:cstheme="minorHAnsi"/>
          <w:sz w:val="21"/>
          <w:szCs w:val="21"/>
        </w:rPr>
        <w:t>AİHM verdiği bir kararında, on yıl süreyle verilen kamu görevinde çalışmama cezasının ilgililerin dış dünya ile ilişki kurmalarını ciddi şekilde etkilediğini, geçimlerini temin noktasında zorluklar oluşturduğunu ve yasağın makul bir nedeninin bulunmaması sebebiyle de çalışma hayatına orantısız bir müdahale teşkil ettiğini ve benzer durumda bulunan kişilere göre başvurucular için ayrımcılık oluşturduğunu belirtmiştir.</w:t>
      </w:r>
      <w:r w:rsidRPr="00A40242">
        <w:rPr>
          <w:rStyle w:val="DipnotBavurusu"/>
          <w:rFonts w:ascii="Palatino Linotype" w:hAnsi="Palatino Linotype" w:cstheme="minorHAnsi"/>
          <w:sz w:val="21"/>
          <w:szCs w:val="21"/>
        </w:rPr>
        <w:footnoteReference w:id="213"/>
      </w:r>
      <w:r w:rsidRPr="00A40242">
        <w:rPr>
          <w:rFonts w:ascii="Palatino Linotype" w:hAnsi="Palatino Linotype" w:cstheme="minorHAnsi"/>
          <w:sz w:val="21"/>
          <w:szCs w:val="21"/>
        </w:rPr>
        <w:t xml:space="preserve"> Meslekten çıkarılan yargı </w:t>
      </w:r>
      <w:r w:rsidRPr="00A40242">
        <w:rPr>
          <w:rFonts w:ascii="Palatino Linotype" w:hAnsi="Palatino Linotype" w:cstheme="minorHAnsi"/>
          <w:sz w:val="21"/>
          <w:szCs w:val="21"/>
        </w:rPr>
        <w:lastRenderedPageBreak/>
        <w:t>mensuplarına getirilen kamu görevinde bir daha çalışmama yasağının da makul bir nedeni yoktur. Ayrıca, bu</w:t>
      </w:r>
      <w:r w:rsidRPr="00A40242">
        <w:rPr>
          <w:rFonts w:ascii="Palatino Linotype" w:hAnsi="Palatino Linotype" w:cstheme="minorHAnsi"/>
          <w:color w:val="FF0000"/>
          <w:sz w:val="21"/>
          <w:szCs w:val="21"/>
        </w:rPr>
        <w:t xml:space="preserve"> </w:t>
      </w:r>
      <w:r w:rsidRPr="00A40242">
        <w:rPr>
          <w:rFonts w:ascii="Palatino Linotype" w:hAnsi="Palatino Linotype" w:cstheme="minorHAnsi"/>
          <w:sz w:val="21"/>
          <w:szCs w:val="21"/>
        </w:rPr>
        <w:t xml:space="preserve">yasak çalışma hayatına ilişkin </w:t>
      </w:r>
      <w:r w:rsidRPr="00A40242">
        <w:rPr>
          <w:rFonts w:ascii="Palatino Linotype" w:hAnsi="Palatino Linotype" w:cstheme="minorHAnsi"/>
          <w:i/>
          <w:sz w:val="21"/>
          <w:szCs w:val="21"/>
        </w:rPr>
        <w:t>"daha vahim ve orantısız"</w:t>
      </w:r>
      <w:r w:rsidRPr="00A40242">
        <w:rPr>
          <w:rFonts w:ascii="Palatino Linotype" w:hAnsi="Palatino Linotype" w:cstheme="minorHAnsi"/>
          <w:sz w:val="21"/>
          <w:szCs w:val="21"/>
        </w:rPr>
        <w:t xml:space="preserve"> bir müdahale oluşturmuş, ilgililerin dış dünya ile sağlıklı ilişki geliştirmelerini engellemiş, benzer durumda bulunan kişilere nazaran ihraç edilen yargı mensupları aleyhine ayrımcılığa neden olmuş ve bu kişilerin AİHS'in 8. maddesiyle bağlantılı olarak 14. maddedeki hakları da ihlal edilmiştir.</w:t>
      </w:r>
      <w:r w:rsidRPr="00A40242">
        <w:rPr>
          <w:rStyle w:val="DipnotBavurusu"/>
          <w:rFonts w:ascii="Palatino Linotype" w:hAnsi="Palatino Linotype" w:cstheme="minorHAnsi"/>
          <w:sz w:val="21"/>
          <w:szCs w:val="21"/>
        </w:rPr>
        <w:footnoteReference w:id="214"/>
      </w:r>
    </w:p>
    <w:p w14:paraId="00053186" w14:textId="77777777" w:rsidR="00936167" w:rsidRPr="00A40242" w:rsidRDefault="00936167" w:rsidP="00936167">
      <w:pPr>
        <w:tabs>
          <w:tab w:val="left" w:pos="284"/>
        </w:tabs>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Konuyla ilgili Birleşmiş Milletler Keyfi Tutuklamalar Çalışma Grubu da,</w:t>
      </w:r>
      <w:r w:rsidRPr="00A40242">
        <w:rPr>
          <w:rStyle w:val="DipnotBavurusu"/>
          <w:rFonts w:ascii="Palatino Linotype" w:hAnsi="Palatino Linotype" w:cstheme="minorHAnsi"/>
          <w:sz w:val="21"/>
          <w:szCs w:val="21"/>
        </w:rPr>
        <w:footnoteReference w:id="215"/>
      </w:r>
      <w:r w:rsidRPr="00A40242">
        <w:rPr>
          <w:rFonts w:ascii="Palatino Linotype" w:hAnsi="Palatino Linotype" w:cstheme="minorHAnsi"/>
          <w:sz w:val="21"/>
          <w:szCs w:val="21"/>
        </w:rPr>
        <w:t xml:space="preserve"> bir yüksek yargı mensubunun, mesleğinden dolayı hedef seçildiğine ve hükümetin desteklediği YBP'ye üye olmaması nedeniyle tutuklanan 3000 hâkim ve savcıdan biri olduğuna ilişkin başvurusu kapsamında verdiği kararında; olağanüstü halde dahi yargı mensuplarına hassasiyetle yaklaşılması gerektiğini, hükümetin başvurucunun tutukluluğuna dair yeterli bir açıklama sunamadığını, terör örgütü üyeliğine ilişkin de somut bir delil gösteremediğini, hükümeti desteklememesi nedeniyle hedef seçildiğini ve siyasi veya diğer bir görüşüne dayalı ayrımcılık temelinde mesleğinden çıkarılıp tutuklandığını belirtmiştir.</w:t>
      </w:r>
      <w:r w:rsidRPr="00A40242">
        <w:rPr>
          <w:rStyle w:val="DipnotBavurusu"/>
          <w:rFonts w:ascii="Palatino Linotype" w:hAnsi="Palatino Linotype" w:cstheme="minorHAnsi"/>
          <w:sz w:val="21"/>
          <w:szCs w:val="21"/>
        </w:rPr>
        <w:footnoteReference w:id="216"/>
      </w:r>
    </w:p>
    <w:p w14:paraId="62499813" w14:textId="77777777" w:rsidR="00936167" w:rsidRPr="00595617" w:rsidRDefault="00936167" w:rsidP="00936167">
      <w:pPr>
        <w:pStyle w:val="Balk2"/>
        <w:numPr>
          <w:ilvl w:val="0"/>
          <w:numId w:val="43"/>
        </w:numPr>
        <w:spacing w:before="120" w:after="120" w:line="240" w:lineRule="auto"/>
        <w:ind w:left="993" w:hanging="426"/>
        <w:rPr>
          <w:rFonts w:cstheme="minorHAnsi"/>
          <w:b/>
          <w:bCs/>
          <w:sz w:val="21"/>
          <w:szCs w:val="21"/>
        </w:rPr>
      </w:pPr>
      <w:bookmarkStart w:id="18" w:name="_Toc7451336"/>
      <w:r w:rsidRPr="00595617">
        <w:rPr>
          <w:rFonts w:cstheme="minorHAnsi"/>
          <w:b/>
          <w:bCs/>
          <w:sz w:val="21"/>
          <w:szCs w:val="21"/>
        </w:rPr>
        <w:t>ASKIYA ALMA REJİMİ VE AİHM'İN İZLEYECEĞİ YOL</w:t>
      </w:r>
      <w:bookmarkEnd w:id="18"/>
    </w:p>
    <w:p w14:paraId="3C5C0C29" w14:textId="77777777" w:rsidR="00936167" w:rsidRPr="00A40242" w:rsidRDefault="00936167" w:rsidP="00936167">
      <w:pPr>
        <w:spacing w:before="120" w:after="120" w:line="240" w:lineRule="auto"/>
        <w:ind w:firstLine="567"/>
        <w:jc w:val="both"/>
        <w:rPr>
          <w:rFonts w:ascii="Palatino Linotype" w:hAnsi="Palatino Linotype" w:cstheme="minorHAnsi"/>
          <w:color w:val="FF0000"/>
          <w:sz w:val="21"/>
          <w:szCs w:val="21"/>
        </w:rPr>
      </w:pPr>
      <w:r w:rsidRPr="00A40242">
        <w:rPr>
          <w:rFonts w:ascii="Palatino Linotype" w:hAnsi="Palatino Linotype" w:cstheme="minorHAnsi"/>
          <w:sz w:val="21"/>
          <w:szCs w:val="21"/>
        </w:rPr>
        <w:t>Çalışmada üzerinde durulması gereken bir diğer husus, Türkiye'nin 21 Temmuz 2016'da AİHS'in 15. maddesine dayanarak Sözleşme hükümlerini askıya almasından sonra AİHM'in nasıl bir yol izleyeceğidir. Sözleşme'nin 15. maddesi gereğince sözleşmeci taraf; Sözleşme'nin 2., 3., 4. ve 7. maddeleri dışındaki maddelerini savaş ya da milletin varlığını tehdit eden diğer bir tehlike halinde durumun gerektirdiği ölçüde ve uluslararası hukuktan doğan diğer yükümlülüklere aykırı olmamak şartıyla Sözleşme'de öngörülen yükümlülüklere aykırı tedbirler alabilir.</w:t>
      </w:r>
      <w:r w:rsidRPr="00A40242">
        <w:rPr>
          <w:rStyle w:val="DipnotBavurusu"/>
          <w:rFonts w:ascii="Palatino Linotype" w:hAnsi="Palatino Linotype" w:cstheme="minorHAnsi"/>
          <w:sz w:val="21"/>
          <w:szCs w:val="21"/>
        </w:rPr>
        <w:footnoteReference w:id="217"/>
      </w:r>
      <w:r w:rsidRPr="00A40242">
        <w:rPr>
          <w:rFonts w:ascii="Palatino Linotype" w:hAnsi="Palatino Linotype" w:cstheme="minorHAnsi"/>
          <w:sz w:val="21"/>
          <w:szCs w:val="21"/>
        </w:rPr>
        <w:t xml:space="preserve"> </w:t>
      </w:r>
    </w:p>
    <w:p w14:paraId="324B60E1" w14:textId="77777777" w:rsidR="00936167" w:rsidRPr="00A40242" w:rsidRDefault="00936167" w:rsidP="00936167">
      <w:pPr>
        <w:pStyle w:val="ListeParagraf"/>
        <w:spacing w:before="120" w:after="120" w:line="240" w:lineRule="auto"/>
        <w:ind w:left="0" w:right="113" w:firstLine="567"/>
        <w:jc w:val="both"/>
        <w:rPr>
          <w:rFonts w:ascii="Palatino Linotype" w:hAnsi="Palatino Linotype" w:cstheme="minorHAnsi"/>
          <w:sz w:val="21"/>
          <w:szCs w:val="21"/>
        </w:rPr>
      </w:pPr>
      <w:r w:rsidRPr="00A40242">
        <w:rPr>
          <w:rFonts w:ascii="Palatino Linotype" w:eastAsia="MS Mincho" w:hAnsi="Palatino Linotype" w:cstheme="minorHAnsi"/>
          <w:bCs/>
          <w:sz w:val="21"/>
          <w:szCs w:val="21"/>
        </w:rPr>
        <w:t xml:space="preserve">Taraf Devletlerin OHAL ilanıyla takdir marjları genişlese de, bu her şeyi yapabilecekleri anlamına gelmez. Zira </w:t>
      </w:r>
      <w:r w:rsidRPr="00A40242">
        <w:rPr>
          <w:rFonts w:ascii="Palatino Linotype" w:hAnsi="Palatino Linotype" w:cstheme="minorHAnsi"/>
          <w:sz w:val="21"/>
          <w:szCs w:val="21"/>
        </w:rPr>
        <w:t>bu dönemde dahi özüne dokunulamayacak haklar bulunduğundan hak ve özgürlüklere sınırlama getirilirken ölçülü davranılmalıdır</w:t>
      </w:r>
      <w:r w:rsidRPr="00A40242">
        <w:rPr>
          <w:rStyle w:val="DipnotBavurusu"/>
          <w:rFonts w:ascii="Palatino Linotype" w:eastAsia="MS Mincho" w:hAnsi="Palatino Linotype" w:cstheme="minorHAnsi"/>
          <w:bCs/>
          <w:sz w:val="21"/>
          <w:szCs w:val="21"/>
        </w:rPr>
        <w:footnoteReference w:id="218"/>
      </w:r>
      <w:r w:rsidRPr="00A40242">
        <w:rPr>
          <w:rFonts w:ascii="Palatino Linotype" w:hAnsi="Palatino Linotype" w:cstheme="minorHAnsi"/>
          <w:sz w:val="21"/>
          <w:szCs w:val="21"/>
        </w:rPr>
        <w:t xml:space="preserve"> ve bu nedenle de devletlerin </w:t>
      </w:r>
      <w:r w:rsidRPr="00A40242">
        <w:rPr>
          <w:rFonts w:ascii="Palatino Linotype" w:hAnsi="Palatino Linotype" w:cstheme="minorHAnsi"/>
          <w:sz w:val="21"/>
          <w:szCs w:val="21"/>
        </w:rPr>
        <w:lastRenderedPageBreak/>
        <w:t>temel hak ve özgürlükleri kısıtlanma yetkileri uluslararası hukuk ile sınırlandırılmıştır. Buna göre, hak ve özgürlüklere getirilecek sınırlama ancak durumun gerektirdiği ölçüde olmalıdır. Yani, OHAL döneminde uygulanacak tedbirlerle ilgili objektif ölçüt, bunları uygulayan devletin "</w:t>
      </w:r>
      <w:r w:rsidRPr="00A40242">
        <w:rPr>
          <w:rFonts w:ascii="Palatino Linotype" w:hAnsi="Palatino Linotype" w:cstheme="minorHAnsi"/>
          <w:i/>
          <w:sz w:val="21"/>
          <w:szCs w:val="21"/>
        </w:rPr>
        <w:t xml:space="preserve">subjektif değerlendirmesi" </w:t>
      </w:r>
      <w:r w:rsidRPr="00A40242">
        <w:rPr>
          <w:rFonts w:ascii="Palatino Linotype" w:hAnsi="Palatino Linotype" w:cstheme="minorHAnsi"/>
          <w:sz w:val="21"/>
          <w:szCs w:val="21"/>
        </w:rPr>
        <w:t xml:space="preserve">değil </w:t>
      </w:r>
      <w:r w:rsidRPr="00A40242">
        <w:rPr>
          <w:rFonts w:ascii="Palatino Linotype" w:hAnsi="Palatino Linotype" w:cstheme="minorHAnsi"/>
          <w:i/>
          <w:sz w:val="21"/>
          <w:szCs w:val="21"/>
        </w:rPr>
        <w:t xml:space="preserve">“gerekliliktir.” </w:t>
      </w:r>
      <w:r w:rsidRPr="00A40242">
        <w:rPr>
          <w:rFonts w:ascii="Palatino Linotype" w:hAnsi="Palatino Linotype" w:cstheme="minorHAnsi"/>
          <w:sz w:val="21"/>
          <w:szCs w:val="21"/>
        </w:rPr>
        <w:t>Başka bir ifadeyle,</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bu dönemde alınan tedbirler OHAL'e neden olan durumun ortadan kaldırılması için gerekli olmalıdır ve bu amaç dışındaki sebeplerle askıya alma rejiminin uygulanması AİHS'in 18. maddesinin ihlalini gündeme getirir.</w:t>
      </w:r>
      <w:r w:rsidRPr="00A40242">
        <w:rPr>
          <w:rStyle w:val="DipnotBavurusu1"/>
          <w:rFonts w:ascii="Palatino Linotype" w:hAnsi="Palatino Linotype" w:cstheme="minorHAnsi"/>
          <w:sz w:val="21"/>
          <w:szCs w:val="21"/>
        </w:rPr>
        <w:footnoteReference w:id="219"/>
      </w:r>
    </w:p>
    <w:p w14:paraId="10D0655E"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OHAL KHK’lerinin AİHS 15. maddesine uygunluğu konusunda diğer bir husus, uluslararası hukuktan doğan yükümlülüklerin ihlal edilmemesidir. Yani, getirilen kısıtlamalar uluslararası hukuka ve Türkiye’nin taraf olduğu sözleşmelere uygun olmalıdır. Bu uygunluğun tespiti de, AİHS'in 15. maddesinin evrensel standartlarda yorumuna bağlıdır.</w:t>
      </w:r>
      <w:r w:rsidRPr="00A40242">
        <w:rPr>
          <w:rStyle w:val="DipnotBavurusu"/>
          <w:rFonts w:ascii="Palatino Linotype" w:hAnsi="Palatino Linotype" w:cstheme="minorHAnsi"/>
          <w:sz w:val="21"/>
          <w:szCs w:val="21"/>
        </w:rPr>
        <w:footnoteReference w:id="220"/>
      </w:r>
      <w:r w:rsidRPr="00A40242">
        <w:rPr>
          <w:rFonts w:ascii="Palatino Linotype" w:hAnsi="Palatino Linotype" w:cstheme="minorHAnsi"/>
          <w:sz w:val="21"/>
          <w:szCs w:val="21"/>
        </w:rPr>
        <w:t xml:space="preserve"> </w:t>
      </w:r>
    </w:p>
    <w:p w14:paraId="25CD8185"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imes New Roman"/>
          <w:sz w:val="21"/>
          <w:szCs w:val="21"/>
        </w:rPr>
        <w:t xml:space="preserve">AİHS’in 15. maddesi gereğince, ilgili devlet alınan tedbirleri ve bunların sebeplerini Avrupa Konseyi Genel Sekreterine bildirmelidir. Ancak, alınan tedbirlerin 15. maddeye uygunluğunu </w:t>
      </w:r>
      <w:r w:rsidRPr="00A40242">
        <w:rPr>
          <w:rFonts w:ascii="Palatino Linotype" w:hAnsi="Palatino Linotype" w:cstheme="minorHAnsi"/>
          <w:sz w:val="21"/>
          <w:szCs w:val="21"/>
        </w:rPr>
        <w:t>değerlendirme yetkisi AİHM'e aittir. Mahkeme bu değerlendirmeyi yaparken, ulusun yaşamını tehdit eden olağanüstü bir durumun varlığını, alınan tedbirlerin sözleşme çerçevesinde durumun gerektirdiği ölçüde olup olmadığını ve uluslararası hukuktan doğan diğer yükümlülüklere aykırılık teşkil edip etmediğini inceler. Başka bir ifadeyle, Mahkemenin OHAL koşullarının varlığına ilişkin</w:t>
      </w:r>
      <w:r w:rsidRPr="00A40242">
        <w:rPr>
          <w:rFonts w:ascii="Palatino Linotype" w:hAnsi="Palatino Linotype" w:cstheme="minorHAnsi"/>
          <w:color w:val="FF0000"/>
          <w:sz w:val="21"/>
          <w:szCs w:val="21"/>
        </w:rPr>
        <w:t xml:space="preserve"> </w:t>
      </w:r>
      <w:r w:rsidRPr="00A40242">
        <w:rPr>
          <w:rFonts w:ascii="Palatino Linotype" w:hAnsi="Palatino Linotype" w:cstheme="minorHAnsi"/>
          <w:sz w:val="21"/>
          <w:szCs w:val="21"/>
        </w:rPr>
        <w:t>takdir marjını</w:t>
      </w:r>
      <w:r w:rsidRPr="00A40242">
        <w:rPr>
          <w:rFonts w:ascii="Palatino Linotype" w:hAnsi="Palatino Linotype" w:cstheme="minorHAnsi"/>
          <w:color w:val="FF0000"/>
          <w:sz w:val="21"/>
          <w:szCs w:val="21"/>
        </w:rPr>
        <w:t xml:space="preserve"> </w:t>
      </w:r>
      <w:r w:rsidRPr="00A40242">
        <w:rPr>
          <w:rFonts w:ascii="Palatino Linotype" w:hAnsi="Palatino Linotype" w:cstheme="minorHAnsi"/>
          <w:sz w:val="21"/>
          <w:szCs w:val="21"/>
        </w:rPr>
        <w:t>denetim yetkisi vardır ve bu yetkiyi kullanırken, tedbire konu hakların niteliğine, tedbire yol açan koşullara ve tedbirin süresine bakmaktadır.</w:t>
      </w:r>
      <w:r w:rsidRPr="00A40242">
        <w:rPr>
          <w:rStyle w:val="DipnotBavurusu"/>
          <w:rFonts w:ascii="Palatino Linotype" w:hAnsi="Palatino Linotype" w:cstheme="minorHAnsi"/>
          <w:sz w:val="21"/>
          <w:szCs w:val="21"/>
        </w:rPr>
        <w:footnoteReference w:id="221"/>
      </w:r>
      <w:r w:rsidRPr="00A40242">
        <w:rPr>
          <w:rFonts w:ascii="Palatino Linotype" w:hAnsi="Palatino Linotype" w:cstheme="minorHAnsi"/>
          <w:sz w:val="21"/>
          <w:szCs w:val="21"/>
        </w:rPr>
        <w:t xml:space="preserve"> Ayrıca, taraf ülkeler OHAL'i hayata geçirdikten sonra Sözleşme hükümlerini askıya almalarıyla ilgili şu üç hususu açıklığa kavuşturmalıdırlar; Sözleşme hükümlerini askıya almanın gerekliliği, tehlike ile alınan tedbirler arasında orantılılık ve Sözleşme hükümlerinin ne kadar süreyle askıya alınacağı. </w:t>
      </w:r>
    </w:p>
    <w:p w14:paraId="57EE91E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Türkiye, Avrupa Konseyi Genel Sekreterine gönderdiği yazıda genel bir bildirimde bulunmuş, hangi maddeleri askıya aldığını belirtmemiş ve bu sayede her bir şikâyet için ayrı bir askıya alma savunması yapma imkânını elinde tutmak istemiştir.</w:t>
      </w:r>
      <w:r w:rsidRPr="00A40242">
        <w:rPr>
          <w:rStyle w:val="DipnotBavurusu"/>
          <w:rFonts w:ascii="Palatino Linotype" w:hAnsi="Palatino Linotype" w:cstheme="minorHAnsi"/>
          <w:sz w:val="21"/>
          <w:szCs w:val="21"/>
        </w:rPr>
        <w:footnoteReference w:id="222"/>
      </w:r>
      <w:r w:rsidRPr="00A40242">
        <w:rPr>
          <w:rFonts w:ascii="Palatino Linotype" w:hAnsi="Palatino Linotype" w:cstheme="minorHAnsi"/>
          <w:sz w:val="21"/>
          <w:szCs w:val="21"/>
        </w:rPr>
        <w:t xml:space="preserve"> Ancak,  AİHM’in Sözleşme’nin askıya almasıyla ilgili geçmişte verdiği kararları</w:t>
      </w:r>
      <w:r w:rsidRPr="00A40242">
        <w:rPr>
          <w:rStyle w:val="DipnotBavurusu1"/>
          <w:rFonts w:ascii="Palatino Linotype" w:hAnsi="Palatino Linotype" w:cstheme="minorHAnsi"/>
          <w:sz w:val="21"/>
          <w:szCs w:val="21"/>
        </w:rPr>
        <w:footnoteReference w:id="223"/>
      </w:r>
      <w:r w:rsidRPr="00A40242">
        <w:rPr>
          <w:rFonts w:ascii="Palatino Linotype" w:hAnsi="Palatino Linotype" w:cstheme="minorHAnsi"/>
          <w:sz w:val="21"/>
          <w:szCs w:val="21"/>
        </w:rPr>
        <w:t xml:space="preserve"> ve 15 Temmuz 2016 sonrası gerçekleştirilen tutuklamaların durumun gerekleriyle uyumlu olmadığını belirttiği içtihatları</w:t>
      </w:r>
      <w:r w:rsidRPr="00A40242">
        <w:rPr>
          <w:rStyle w:val="DipnotBavurusu"/>
          <w:rFonts w:ascii="Palatino Linotype" w:hAnsi="Palatino Linotype" w:cstheme="minorHAnsi"/>
          <w:sz w:val="21"/>
          <w:szCs w:val="21"/>
        </w:rPr>
        <w:footnoteReference w:id="224"/>
      </w:r>
      <w:r w:rsidRPr="00A40242">
        <w:rPr>
          <w:rFonts w:ascii="Palatino Linotype" w:hAnsi="Palatino Linotype" w:cstheme="minorHAnsi"/>
          <w:sz w:val="21"/>
          <w:szCs w:val="21"/>
        </w:rPr>
        <w:t xml:space="preserve"> dikkate alındığında, meslekten çıkarmayla ilgili hususlarda da Türkiye'nin askıya alma beyanını reddedeceği ve OHAL KHK'lerine dayanılarak yapılan düzenlemelerin Sözleşme'ye aykırı olduğuna karar vereceği düşünülmektedir.</w:t>
      </w:r>
      <w:r w:rsidRPr="00A40242">
        <w:rPr>
          <w:rStyle w:val="DipnotBavurusu1"/>
          <w:rFonts w:ascii="Palatino Linotype" w:hAnsi="Palatino Linotype" w:cstheme="minorHAnsi"/>
          <w:sz w:val="21"/>
          <w:szCs w:val="21"/>
        </w:rPr>
        <w:footnoteReference w:id="225"/>
      </w:r>
      <w:r w:rsidRPr="00A40242">
        <w:rPr>
          <w:rFonts w:ascii="Palatino Linotype" w:hAnsi="Palatino Linotype" w:cstheme="minorHAnsi"/>
          <w:sz w:val="21"/>
          <w:szCs w:val="21"/>
        </w:rPr>
        <w:t xml:space="preserve"> Şöyle ki;</w:t>
      </w:r>
    </w:p>
    <w:p w14:paraId="76600270" w14:textId="77777777" w:rsidR="00936167" w:rsidRPr="00A40242" w:rsidRDefault="00936167" w:rsidP="00936167">
      <w:pPr>
        <w:pStyle w:val="ListeParagraf"/>
        <w:spacing w:before="120" w:after="120" w:line="240" w:lineRule="auto"/>
        <w:ind w:left="0" w:right="113" w:firstLine="567"/>
        <w:jc w:val="both"/>
        <w:rPr>
          <w:rFonts w:ascii="Palatino Linotype" w:eastAsia="MS Mincho" w:hAnsi="Palatino Linotype" w:cstheme="minorHAnsi"/>
          <w:bCs/>
          <w:sz w:val="21"/>
          <w:szCs w:val="21"/>
        </w:rPr>
      </w:pPr>
      <w:r w:rsidRPr="00A40242">
        <w:rPr>
          <w:rFonts w:ascii="Palatino Linotype" w:eastAsia="MS Mincho" w:hAnsi="Palatino Linotype" w:cstheme="minorHAnsi"/>
          <w:bCs/>
          <w:sz w:val="21"/>
          <w:szCs w:val="21"/>
        </w:rPr>
        <w:t xml:space="preserve">Yerleşik içtihatlarından hareketle, AİHM'in kamu görevinden çıkarma tedbiriyle ilgili üç hususun varlığını sorgulayacağı düşünülmektedir: </w:t>
      </w:r>
      <w:r w:rsidRPr="00A40242">
        <w:rPr>
          <w:rFonts w:ascii="Palatino Linotype" w:eastAsia="MS Mincho" w:hAnsi="Palatino Linotype" w:cstheme="minorHAnsi"/>
          <w:b/>
          <w:bCs/>
          <w:sz w:val="21"/>
          <w:szCs w:val="21"/>
        </w:rPr>
        <w:t>1.</w:t>
      </w:r>
      <w:r w:rsidRPr="00A40242">
        <w:rPr>
          <w:rFonts w:ascii="Palatino Linotype" w:eastAsia="MS Mincho" w:hAnsi="Palatino Linotype" w:cstheme="minorHAnsi"/>
          <w:bCs/>
          <w:sz w:val="21"/>
          <w:szCs w:val="21"/>
        </w:rPr>
        <w:t xml:space="preserve"> Hükümetin yaptığı bildirimde kamu görevinden çıkarma tedbirine yer verilip verilmediği, </w:t>
      </w:r>
      <w:r w:rsidRPr="00A40242">
        <w:rPr>
          <w:rFonts w:ascii="Palatino Linotype" w:eastAsia="MS Mincho" w:hAnsi="Palatino Linotype" w:cstheme="minorHAnsi"/>
          <w:b/>
          <w:bCs/>
          <w:sz w:val="21"/>
          <w:szCs w:val="21"/>
        </w:rPr>
        <w:t>2.</w:t>
      </w:r>
      <w:r w:rsidRPr="00A40242">
        <w:rPr>
          <w:rFonts w:ascii="Palatino Linotype" w:eastAsia="MS Mincho" w:hAnsi="Palatino Linotype" w:cstheme="minorHAnsi"/>
          <w:bCs/>
          <w:sz w:val="21"/>
          <w:szCs w:val="21"/>
        </w:rPr>
        <w:t xml:space="preserve"> Alınan tedbirin durumun gerektirdiği nitelikte olup olmadığı, </w:t>
      </w:r>
      <w:r w:rsidRPr="00A40242">
        <w:rPr>
          <w:rFonts w:ascii="Palatino Linotype" w:eastAsia="MS Mincho" w:hAnsi="Palatino Linotype" w:cstheme="minorHAnsi"/>
          <w:b/>
          <w:bCs/>
          <w:sz w:val="21"/>
          <w:szCs w:val="21"/>
        </w:rPr>
        <w:t>3.</w:t>
      </w:r>
      <w:r w:rsidRPr="00A40242">
        <w:rPr>
          <w:rFonts w:ascii="Palatino Linotype" w:eastAsia="MS Mincho" w:hAnsi="Palatino Linotype" w:cstheme="minorHAnsi"/>
          <w:bCs/>
          <w:sz w:val="21"/>
          <w:szCs w:val="21"/>
        </w:rPr>
        <w:t xml:space="preserve"> AİHS'in 15/2. maddesi gereğince askıya alınamayan hakların tedbirden etkilenip etkilenmediği.</w:t>
      </w:r>
    </w:p>
    <w:p w14:paraId="5C4A736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eastAsia="MS Mincho" w:hAnsi="Palatino Linotype" w:cstheme="minorHAnsi"/>
          <w:bCs/>
          <w:sz w:val="21"/>
          <w:szCs w:val="21"/>
        </w:rPr>
        <w:lastRenderedPageBreak/>
        <w:t>Hükümetin yaptığı bildirimde yüz binden fazla kamu görevlisinin ihraç edileceğine yer verilmemiş, ancak uygulanan tedbir konu bakımından bildirimin çok ötesine geçmiştir.</w:t>
      </w:r>
      <w:r w:rsidRPr="00A40242">
        <w:rPr>
          <w:rStyle w:val="DipnotBavurusu"/>
          <w:rFonts w:ascii="Palatino Linotype" w:eastAsia="MS Mincho" w:hAnsi="Palatino Linotype" w:cstheme="minorHAnsi"/>
          <w:bCs/>
          <w:sz w:val="21"/>
          <w:szCs w:val="21"/>
        </w:rPr>
        <w:footnoteReference w:id="226"/>
      </w:r>
      <w:r w:rsidRPr="00A40242">
        <w:rPr>
          <w:rFonts w:ascii="Palatino Linotype" w:eastAsia="MS Mincho" w:hAnsi="Palatino Linotype" w:cstheme="minorHAnsi"/>
          <w:bCs/>
          <w:sz w:val="21"/>
          <w:szCs w:val="21"/>
        </w:rPr>
        <w:t xml:space="preserve"> Zira KHK'ler de, </w:t>
      </w:r>
      <w:r w:rsidRPr="00A40242">
        <w:rPr>
          <w:rFonts w:ascii="Palatino Linotype" w:eastAsia="MS Mincho" w:hAnsi="Palatino Linotype" w:cs="Times New Roman"/>
          <w:bCs/>
          <w:sz w:val="21"/>
          <w:szCs w:val="21"/>
        </w:rPr>
        <w:t>meslekten çıkarıma için yeterli görülen bir örgütle irtibatlı ve iltisaklı sayılma kriterlerin neler olduğuna ve ispatına ilişkin bir standarda yer verilmemiştir</w:t>
      </w:r>
      <w:r w:rsidRPr="00A40242">
        <w:rPr>
          <w:rFonts w:ascii="Palatino Linotype" w:eastAsia="MS Mincho" w:hAnsi="Palatino Linotype" w:cstheme="minorHAnsi"/>
          <w:bCs/>
          <w:sz w:val="21"/>
          <w:szCs w:val="21"/>
        </w:rPr>
        <w:t>. Yine, haklarında özel soruşturma usulü bulunan kişilerle ilgili prosedürlerin hiç birisine uyulmamış, kişiselleştirme yapılmamış ve ihraç edilen herkes aynı muameleye tabi tutulmuştur.</w:t>
      </w:r>
      <w:r w:rsidRPr="00A40242">
        <w:rPr>
          <w:rStyle w:val="DipnotBavurusu"/>
          <w:rFonts w:ascii="Palatino Linotype" w:eastAsia="MS Mincho" w:hAnsi="Palatino Linotype" w:cstheme="minorHAnsi"/>
          <w:bCs/>
          <w:sz w:val="21"/>
          <w:szCs w:val="21"/>
        </w:rPr>
        <w:footnoteReference w:id="227"/>
      </w:r>
    </w:p>
    <w:p w14:paraId="2F393146" w14:textId="77777777" w:rsidR="00936167" w:rsidRPr="00A40242" w:rsidRDefault="00936167" w:rsidP="00936167">
      <w:pPr>
        <w:spacing w:before="120" w:after="120" w:line="240" w:lineRule="auto"/>
        <w:ind w:right="113" w:firstLine="567"/>
        <w:jc w:val="both"/>
        <w:rPr>
          <w:rFonts w:ascii="Palatino Linotype" w:eastAsia="MS Mincho" w:hAnsi="Palatino Linotype" w:cstheme="minorHAnsi"/>
          <w:bCs/>
          <w:sz w:val="21"/>
          <w:szCs w:val="21"/>
        </w:rPr>
      </w:pPr>
      <w:r w:rsidRPr="00A40242">
        <w:rPr>
          <w:rFonts w:ascii="Palatino Linotype" w:eastAsia="MS Mincho" w:hAnsi="Palatino Linotype" w:cstheme="minorHAnsi"/>
          <w:bCs/>
          <w:sz w:val="21"/>
          <w:szCs w:val="21"/>
        </w:rPr>
        <w:t>Çalışmaya konu tedbir, hakların askıya alınmasının ikinci unsuru olan "</w:t>
      </w:r>
      <w:r w:rsidRPr="00A40242">
        <w:rPr>
          <w:rFonts w:ascii="Palatino Linotype" w:eastAsia="MS Mincho" w:hAnsi="Palatino Linotype" w:cstheme="minorHAnsi"/>
          <w:bCs/>
          <w:i/>
          <w:sz w:val="21"/>
          <w:szCs w:val="21"/>
        </w:rPr>
        <w:t>şartların gerektirdiği ölçüde"</w:t>
      </w:r>
      <w:r w:rsidRPr="00A40242">
        <w:rPr>
          <w:rFonts w:ascii="Palatino Linotype" w:eastAsia="MS Mincho" w:hAnsi="Palatino Linotype" w:cstheme="minorHAnsi"/>
          <w:bCs/>
          <w:sz w:val="21"/>
          <w:szCs w:val="21"/>
        </w:rPr>
        <w:t xml:space="preserve"> olma ölçütünü de karşılamamaktadır. Zira Birleşmiş Milletler İnsan Hakları Komitesi’nin de belirttiği üzere, OHAL'de alınacak tedbirler istisnai ve geçici olmalıdır. Oysaki yaptırıma muhatap olan yargı mensupları kamu görevinden tamamen çıkarılmış, kamu görevi sayılan işleri yapmaları yasaklanmış ve adeta </w:t>
      </w:r>
      <w:r w:rsidRPr="00A40242">
        <w:rPr>
          <w:rFonts w:ascii="Palatino Linotype" w:eastAsia="MS Mincho" w:hAnsi="Palatino Linotype" w:cstheme="minorHAnsi"/>
          <w:bCs/>
          <w:i/>
          <w:sz w:val="21"/>
          <w:szCs w:val="21"/>
        </w:rPr>
        <w:t>"sivil ölüme"</w:t>
      </w:r>
      <w:r w:rsidRPr="00A40242">
        <w:rPr>
          <w:rFonts w:ascii="Palatino Linotype" w:eastAsia="MS Mincho" w:hAnsi="Palatino Linotype" w:cstheme="minorHAnsi"/>
          <w:bCs/>
          <w:sz w:val="21"/>
          <w:szCs w:val="21"/>
        </w:rPr>
        <w:t xml:space="preserve"> terk edilmişlerdir.</w:t>
      </w:r>
      <w:r w:rsidRPr="00A40242">
        <w:rPr>
          <w:rStyle w:val="DipnotBavurusu"/>
          <w:rFonts w:ascii="Palatino Linotype" w:eastAsia="MS Mincho" w:hAnsi="Palatino Linotype" w:cstheme="minorHAnsi"/>
          <w:bCs/>
          <w:sz w:val="21"/>
          <w:szCs w:val="21"/>
        </w:rPr>
        <w:footnoteReference w:id="228"/>
      </w:r>
      <w:r w:rsidRPr="00A40242">
        <w:rPr>
          <w:rFonts w:ascii="Palatino Linotype" w:eastAsia="MS Mincho" w:hAnsi="Palatino Linotype" w:cstheme="minorHAnsi"/>
          <w:bCs/>
          <w:sz w:val="21"/>
          <w:szCs w:val="21"/>
        </w:rPr>
        <w:t xml:space="preserve"> </w:t>
      </w:r>
    </w:p>
    <w:p w14:paraId="40240686" w14:textId="77777777" w:rsidR="00936167" w:rsidRPr="00A40242" w:rsidRDefault="00936167" w:rsidP="00936167">
      <w:pPr>
        <w:spacing w:before="120" w:after="120" w:line="240" w:lineRule="auto"/>
        <w:ind w:right="113" w:firstLine="567"/>
        <w:jc w:val="both"/>
        <w:rPr>
          <w:rFonts w:ascii="Palatino Linotype" w:eastAsia="MS Mincho" w:hAnsi="Palatino Linotype" w:cstheme="minorHAnsi"/>
          <w:bCs/>
          <w:sz w:val="21"/>
          <w:szCs w:val="21"/>
        </w:rPr>
      </w:pPr>
      <w:r w:rsidRPr="00A40242">
        <w:rPr>
          <w:rFonts w:ascii="Palatino Linotype" w:eastAsia="MS Mincho" w:hAnsi="Palatino Linotype" w:cstheme="minorHAnsi"/>
          <w:bCs/>
          <w:sz w:val="21"/>
          <w:szCs w:val="21"/>
        </w:rPr>
        <w:t xml:space="preserve">Uygulanan yaptırımın, konu bakımından da </w:t>
      </w:r>
      <w:r w:rsidRPr="00A40242">
        <w:rPr>
          <w:rFonts w:ascii="Palatino Linotype" w:eastAsia="MS Mincho" w:hAnsi="Palatino Linotype" w:cstheme="minorHAnsi"/>
          <w:bCs/>
          <w:i/>
          <w:sz w:val="21"/>
          <w:szCs w:val="21"/>
        </w:rPr>
        <w:t>"şartların gerekleriyle"</w:t>
      </w:r>
      <w:r w:rsidRPr="00A40242">
        <w:rPr>
          <w:rFonts w:ascii="Palatino Linotype" w:eastAsia="MS Mincho" w:hAnsi="Palatino Linotype" w:cstheme="minorHAnsi"/>
          <w:bCs/>
          <w:sz w:val="21"/>
          <w:szCs w:val="21"/>
        </w:rPr>
        <w:t xml:space="preserve"> de uyumlu değildir. Zira OHAL ilanının nedeni ordu içindeki bir grup askerin darbe teşebbüsüdür ve ihraçlarına karar verilen yargı mensuplarının bu teşebbüse katıldıklarına ya da şiddet kullandıklarına ilişkin bir delil bulunmamaktadır. Bu şartlar altında, adil yargılanma ilkeleri askıya alınarak uygulanan tedbirin 15. maddeye uygun olduğunu söylemek mümkün değildir.</w:t>
      </w:r>
      <w:r w:rsidRPr="00A40242">
        <w:rPr>
          <w:rStyle w:val="DipnotBavurusu"/>
          <w:rFonts w:ascii="Palatino Linotype" w:eastAsia="MS Mincho" w:hAnsi="Palatino Linotype" w:cstheme="minorHAnsi"/>
          <w:bCs/>
          <w:sz w:val="21"/>
          <w:szCs w:val="21"/>
        </w:rPr>
        <w:footnoteReference w:id="229"/>
      </w:r>
      <w:r w:rsidRPr="00A40242">
        <w:rPr>
          <w:rFonts w:ascii="Palatino Linotype" w:eastAsia="MS Mincho" w:hAnsi="Palatino Linotype" w:cstheme="minorHAnsi"/>
          <w:bCs/>
          <w:sz w:val="21"/>
          <w:szCs w:val="21"/>
        </w:rPr>
        <w:t xml:space="preserve"> </w:t>
      </w:r>
    </w:p>
    <w:p w14:paraId="411B1015" w14:textId="77777777" w:rsidR="00936167" w:rsidRPr="00A40242" w:rsidRDefault="00936167" w:rsidP="00936167">
      <w:pPr>
        <w:spacing w:before="120" w:after="120" w:line="240" w:lineRule="auto"/>
        <w:ind w:right="113" w:firstLine="567"/>
        <w:jc w:val="both"/>
        <w:rPr>
          <w:rFonts w:ascii="Palatino Linotype" w:eastAsia="MS Mincho" w:hAnsi="Palatino Linotype" w:cstheme="minorHAnsi"/>
          <w:bCs/>
          <w:sz w:val="21"/>
          <w:szCs w:val="21"/>
        </w:rPr>
      </w:pPr>
      <w:r w:rsidRPr="00A40242">
        <w:rPr>
          <w:rFonts w:ascii="Palatino Linotype" w:eastAsia="MS Mincho" w:hAnsi="Palatino Linotype" w:cstheme="minorHAnsi"/>
          <w:bCs/>
          <w:sz w:val="21"/>
          <w:szCs w:val="21"/>
        </w:rPr>
        <w:t xml:space="preserve">Yine, meslekten çıkarma kararı Sözleşme’nin 15/2. maddesinde düzenlenen yasağa da aykırıdır. Zira bu yasak gereğince, kanunsuz ceza verilemeyeceğini düzenleyen Sözleşme’nin 7. maddesinin OHAL döneminde askıya alınması mümkün değildir. Ancak, 667 sayılı OHAL KHK'si ile yeni bir suç ihdas edilmiş ve </w:t>
      </w:r>
      <w:r w:rsidRPr="00A40242">
        <w:rPr>
          <w:rFonts w:ascii="Palatino Linotype" w:eastAsia="MS Mincho" w:hAnsi="Palatino Linotype" w:cstheme="minorHAnsi"/>
          <w:bCs/>
          <w:i/>
          <w:sz w:val="21"/>
          <w:szCs w:val="21"/>
        </w:rPr>
        <w:t>“terör örgütlerine veya Milli Güvenlik Kurulunca Devletin milli güvenliğine karşı faaliyette bulunduğuna karar verilen yapı, oluşum veya gruplara üyeliği, mensubiyeti veya iltisakı yahut bunlarla irtibatı olanların”</w:t>
      </w:r>
      <w:r w:rsidRPr="00A40242">
        <w:rPr>
          <w:rFonts w:ascii="Palatino Linotype" w:eastAsia="MS Mincho" w:hAnsi="Palatino Linotype" w:cstheme="minorHAnsi"/>
          <w:bCs/>
          <w:sz w:val="21"/>
          <w:szCs w:val="21"/>
        </w:rPr>
        <w:t xml:space="preserve"> kamu görevinden çıkarılmaları öngörülmüştür. Adil yargılanma hakkıyla ilgili açıklamalarda yer verildiği üzere, bu düzenleme Sözleşme’deki özerk anlamıyla bir cezai isnattır ve suçun işlendiği tarihte yürürlükte olmayan bu düzenlemeyle kişilerin cezalandırılması yoluna gidilerek Sözleşme’nin 7. ve 15. maddelerine aykırı davranılmıştır.</w:t>
      </w:r>
      <w:r w:rsidRPr="00A40242">
        <w:rPr>
          <w:rStyle w:val="DipnotBavurusu"/>
          <w:rFonts w:ascii="Palatino Linotype" w:eastAsia="MS Mincho" w:hAnsi="Palatino Linotype" w:cstheme="minorHAnsi"/>
          <w:bCs/>
          <w:sz w:val="21"/>
          <w:szCs w:val="21"/>
        </w:rPr>
        <w:footnoteReference w:id="230"/>
      </w:r>
      <w:r w:rsidRPr="00A40242">
        <w:rPr>
          <w:rFonts w:ascii="Palatino Linotype" w:eastAsia="MS Mincho" w:hAnsi="Palatino Linotype" w:cstheme="minorHAnsi"/>
          <w:bCs/>
          <w:sz w:val="21"/>
          <w:szCs w:val="21"/>
        </w:rPr>
        <w:t xml:space="preserve"> </w:t>
      </w:r>
    </w:p>
    <w:p w14:paraId="4644C175" w14:textId="77777777" w:rsidR="00936167" w:rsidRPr="00595617" w:rsidRDefault="00936167" w:rsidP="00936167">
      <w:pPr>
        <w:pStyle w:val="Balk2"/>
        <w:numPr>
          <w:ilvl w:val="0"/>
          <w:numId w:val="43"/>
        </w:numPr>
        <w:spacing w:before="120" w:after="120" w:line="240" w:lineRule="auto"/>
        <w:ind w:left="993" w:hanging="426"/>
        <w:rPr>
          <w:rFonts w:cstheme="minorHAnsi"/>
          <w:b/>
          <w:bCs/>
          <w:sz w:val="21"/>
          <w:szCs w:val="21"/>
        </w:rPr>
      </w:pPr>
      <w:bookmarkStart w:id="19" w:name="_Toc7451337"/>
      <w:r w:rsidRPr="00595617">
        <w:rPr>
          <w:rFonts w:cstheme="minorHAnsi"/>
          <w:b/>
          <w:bCs/>
          <w:sz w:val="21"/>
          <w:szCs w:val="21"/>
        </w:rPr>
        <w:t>HAKKIN KÖTÜYE KULLANIMININ YASAKLANMASI VE HAKLARIN KISITLANMASININ SINIRLARI AÇISINDAN KARARIN DEĞERLENDİRİLMESİ</w:t>
      </w:r>
      <w:bookmarkEnd w:id="19"/>
      <w:r w:rsidRPr="00595617">
        <w:rPr>
          <w:rFonts w:cstheme="minorHAnsi"/>
          <w:b/>
          <w:bCs/>
          <w:sz w:val="21"/>
          <w:szCs w:val="21"/>
        </w:rPr>
        <w:t xml:space="preserve"> </w:t>
      </w:r>
    </w:p>
    <w:p w14:paraId="56BE7873" w14:textId="77777777" w:rsidR="00936167" w:rsidRPr="00A40242" w:rsidRDefault="00936167" w:rsidP="00936167">
      <w:pPr>
        <w:spacing w:before="120" w:after="120" w:line="240" w:lineRule="auto"/>
        <w:ind w:firstLine="567"/>
        <w:jc w:val="both"/>
        <w:rPr>
          <w:rFonts w:ascii="Palatino Linotype" w:hAnsi="Palatino Linotype" w:cstheme="minorHAnsi"/>
          <w:i/>
          <w:sz w:val="21"/>
          <w:szCs w:val="21"/>
        </w:rPr>
      </w:pPr>
      <w:r w:rsidRPr="00A40242">
        <w:rPr>
          <w:rFonts w:ascii="Palatino Linotype" w:hAnsi="Palatino Linotype" w:cstheme="minorHAnsi"/>
          <w:sz w:val="21"/>
          <w:szCs w:val="21"/>
        </w:rPr>
        <w:t xml:space="preserve">Sözleşme'nin 17. maddesinde hakların kötüye kullanımının yasaklanmasıyla ilgili; </w:t>
      </w:r>
      <w:r w:rsidRPr="00A40242">
        <w:rPr>
          <w:rFonts w:ascii="Palatino Linotype" w:hAnsi="Palatino Linotype" w:cstheme="minorHAnsi"/>
          <w:i/>
          <w:sz w:val="21"/>
          <w:szCs w:val="21"/>
        </w:rPr>
        <w:t>"bu Sözleşme hükümlerinden hiçbiri, bir devlete, topluluğa veya kişiye, Sözleşme'de tanınan hak ve özgürlüklerin yok edilmesine veya burada öngörüldüğünden daha geniş ölçüde sınırlamalara uğratılmasına yönelik bir etkinliğe girişme ya da eylemde bulunma hakkını sağlar biçimde yorumlanamaz"</w:t>
      </w:r>
      <w:r w:rsidRPr="00A40242">
        <w:rPr>
          <w:rFonts w:ascii="Palatino Linotype" w:hAnsi="Palatino Linotype" w:cstheme="minorHAnsi"/>
          <w:sz w:val="21"/>
          <w:szCs w:val="21"/>
        </w:rPr>
        <w:t xml:space="preserve"> ifadesine, 18. maddesinde ise, hakların kısıtlanmasının sınırıyla ilgili; </w:t>
      </w:r>
      <w:r w:rsidRPr="00A40242">
        <w:rPr>
          <w:rFonts w:ascii="Palatino Linotype" w:hAnsi="Palatino Linotype" w:cstheme="minorHAnsi"/>
          <w:i/>
          <w:sz w:val="21"/>
          <w:szCs w:val="21"/>
        </w:rPr>
        <w:t xml:space="preserve">"bu Sözleşme hükümleri gereğince, sözü edilen hak ve özgürlüklere getirilen sınırlamalar ancak öngörülen amaçlar için uygulanabilir" </w:t>
      </w:r>
      <w:r w:rsidRPr="00A40242">
        <w:rPr>
          <w:rFonts w:ascii="Palatino Linotype" w:hAnsi="Palatino Linotype" w:cstheme="minorHAnsi"/>
          <w:sz w:val="21"/>
          <w:szCs w:val="21"/>
        </w:rPr>
        <w:t xml:space="preserve">ifadesine yer verilmiştir. Anayasa'da da benzer düzenlemeye 14/2. maddede yer verilmiş ve şöyle denilmiştir; </w:t>
      </w:r>
      <w:r w:rsidRPr="00A40242">
        <w:rPr>
          <w:rFonts w:ascii="Palatino Linotype" w:hAnsi="Palatino Linotype" w:cstheme="minorHAnsi"/>
          <w:i/>
          <w:sz w:val="21"/>
          <w:szCs w:val="21"/>
        </w:rPr>
        <w:t>"Anayasa hükümlerinden hiçbiri, devlete veya kişilere, Anayasa'yla tanınan temel hak ve hürriyetlerin yok edilmesini veya Anayasa'da belirtilenlerden daha geniş şekilde sınırlandırılmasını amaçlayan bir faaliyette bulunmayı mümkün şekilde yorumlanamaz.</w:t>
      </w:r>
    </w:p>
    <w:p w14:paraId="641FB08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lastRenderedPageBreak/>
        <w:t>AİHM, Sözleşme'nin 17. maddesini genellikle ırkçılık ve yabancı düşmanlığına ilişkin başvurularda uygulamakta olup, bu tür başvurular dışında maddeyi doğrudan uygulamak yerine Sözleşme'deki hakların yorumunda dolaylı olarak dikkate almaktadır ve bu maddenin uygulanmasına ilişkin sınırı da 18. madde belirlemektedir. 18. maddede sayesinde yetkinin kötüye kullanımı yasaklanıp iyi niyete aykırılık yaptırıma bağlanmakta ve böylelikle 17. maddenin amacına uygun şekilde ve son çare olarak kullanılması sağlanmaktadır. İki maddenin birbirini tamamlayan bu niteliği gereği, AİHM genellikle bu maddeleri birlikte ele almaktadır.</w:t>
      </w:r>
      <w:r w:rsidRPr="00A40242">
        <w:rPr>
          <w:rStyle w:val="DipnotBavurusu1"/>
          <w:rFonts w:ascii="Palatino Linotype" w:hAnsi="Palatino Linotype" w:cstheme="minorHAnsi"/>
          <w:sz w:val="21"/>
          <w:szCs w:val="21"/>
        </w:rPr>
        <w:footnoteReference w:id="231"/>
      </w:r>
      <w:r w:rsidRPr="00A40242">
        <w:rPr>
          <w:rFonts w:ascii="Palatino Linotype" w:hAnsi="Palatino Linotype" w:cstheme="minorHAnsi"/>
          <w:sz w:val="21"/>
          <w:szCs w:val="21"/>
        </w:rPr>
        <w:t xml:space="preserve"> Avrupa Komisyonu konuyla ilgili bir kararında, 18. maddenin OHAL’in ortadan kalkmasına rağmen, 15. maddeye dayanılarak işlem yapılmasını engellediğini, başka bir ifadeyle, AİHS'te düzenlenen haklar için getirilen olağanüstü kısıtlamaların 15. maddenin 1. fıkrasında belirtilen konularla sınırlı olduğunu belirtmiştir.</w:t>
      </w:r>
      <w:r w:rsidRPr="00A40242">
        <w:rPr>
          <w:rStyle w:val="DipnotBavurusu1"/>
          <w:rFonts w:ascii="Palatino Linotype" w:hAnsi="Palatino Linotype" w:cstheme="minorHAnsi"/>
          <w:sz w:val="21"/>
          <w:szCs w:val="21"/>
        </w:rPr>
        <w:footnoteReference w:id="232"/>
      </w:r>
      <w:r w:rsidRPr="00A40242">
        <w:rPr>
          <w:rFonts w:ascii="Palatino Linotype" w:hAnsi="Palatino Linotype" w:cstheme="minorHAnsi"/>
          <w:sz w:val="21"/>
          <w:szCs w:val="21"/>
        </w:rPr>
        <w:t xml:space="preserve"> AİHM’de, belli şartların varlığı halinde başvurulabilecek tedbire bu şartlar oluşmadan başvurulmasını ya da şartlar sona ermesine rağmen tedbire devam edilmesini amaç unsuru bakımından sakat bularak 18. maddenin ihlaline karar vermiştir.</w:t>
      </w:r>
      <w:r w:rsidRPr="00A40242">
        <w:rPr>
          <w:rStyle w:val="DipnotBavurusu1"/>
          <w:rFonts w:ascii="Palatino Linotype" w:hAnsi="Palatino Linotype" w:cstheme="minorHAnsi"/>
          <w:sz w:val="21"/>
          <w:szCs w:val="21"/>
        </w:rPr>
        <w:footnoteReference w:id="233"/>
      </w:r>
    </w:p>
    <w:p w14:paraId="2EC4730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b/>
        <w:t xml:space="preserve">Sözleşmeci devletler 17. maddeye dayanarak temel hak ve hürriyetleri sınırlama yoluna gidebilirler. Ancak, bu sınırlama öncelikle Sözleşme'deki diğer haklar yönünden yapılmalı ve 17. maddeye son çare olarak başvurmalıdır. Ayrıca, 17. maddeye başvuru şartları oluşsa bile, bu yetkinin </w:t>
      </w:r>
      <w:r w:rsidRPr="00A40242">
        <w:rPr>
          <w:rFonts w:ascii="Palatino Linotype" w:hAnsi="Palatino Linotype" w:cstheme="minorHAnsi"/>
          <w:i/>
          <w:sz w:val="21"/>
          <w:szCs w:val="21"/>
        </w:rPr>
        <w:t>"demokratik sisteme yönelik tehdidin ağırlığı ve süresi ile sıkı sıkıya orantılı bir şekilde"</w:t>
      </w:r>
      <w:r w:rsidRPr="00A40242">
        <w:rPr>
          <w:rFonts w:ascii="Palatino Linotype" w:hAnsi="Palatino Linotype" w:cstheme="minorHAnsi"/>
          <w:sz w:val="21"/>
          <w:szCs w:val="21"/>
        </w:rPr>
        <w:t xml:space="preserve"> kullanılması gerekir.</w:t>
      </w:r>
      <w:r w:rsidRPr="00A40242">
        <w:rPr>
          <w:rStyle w:val="DipnotBavurusu"/>
          <w:rFonts w:ascii="Palatino Linotype" w:hAnsi="Palatino Linotype" w:cstheme="minorHAnsi"/>
          <w:sz w:val="21"/>
          <w:szCs w:val="21"/>
        </w:rPr>
        <w:footnoteReference w:id="234"/>
      </w:r>
      <w:r w:rsidRPr="00A40242">
        <w:rPr>
          <w:rFonts w:ascii="Palatino Linotype" w:hAnsi="Palatino Linotype" w:cstheme="minorHAnsi"/>
          <w:sz w:val="21"/>
          <w:szCs w:val="21"/>
        </w:rPr>
        <w:t xml:space="preserve"> AİHM, Birleşik Krallıkla ilgili verdiği bir kararında, üzerinde alevler içerisindeki ikiz kuleleri gösteren bir fotoğraf ve "</w:t>
      </w:r>
      <w:r w:rsidRPr="00A40242">
        <w:rPr>
          <w:rFonts w:ascii="Palatino Linotype" w:hAnsi="Palatino Linotype" w:cstheme="minorHAnsi"/>
          <w:i/>
          <w:sz w:val="21"/>
          <w:szCs w:val="21"/>
        </w:rPr>
        <w:t>İslam Britanya'dan dışarı-Britanyalı kişileri koruyun"</w:t>
      </w:r>
      <w:r w:rsidRPr="00A40242">
        <w:rPr>
          <w:rFonts w:ascii="Palatino Linotype" w:hAnsi="Palatino Linotype" w:cstheme="minorHAnsi"/>
          <w:sz w:val="21"/>
          <w:szCs w:val="21"/>
        </w:rPr>
        <w:t xml:space="preserve"> yazılı afişin, Birleşik Krallıkta yaşayan bütün Müslümanlara yönelik saldırgan bir ifade olduğunu belirterek; </w:t>
      </w:r>
      <w:r w:rsidRPr="00A40242">
        <w:rPr>
          <w:rFonts w:ascii="Palatino Linotype" w:hAnsi="Palatino Linotype" w:cstheme="minorHAnsi"/>
          <w:i/>
          <w:sz w:val="21"/>
          <w:szCs w:val="21"/>
        </w:rPr>
        <w:t>"bir dini guruba yönelik, bu grubu bir bütün olarak vahim bir terörist eylemle ilişkili gibi gösteren, bu derece genel ve şiddetli bir saldırı, Sözleşme tarafından tanınan ve güvence altına alınan, bilhassa hoşgörü, toplumsal barış ve ayrımcılık yasağı gibi değerlerle bağdaşmamaktadır</w:t>
      </w:r>
      <w:r w:rsidRPr="00A40242">
        <w:rPr>
          <w:rFonts w:ascii="Palatino Linotype" w:hAnsi="Palatino Linotype" w:cstheme="minorHAnsi"/>
          <w:sz w:val="21"/>
          <w:szCs w:val="21"/>
        </w:rPr>
        <w:t>"</w:t>
      </w:r>
      <w:r w:rsidRPr="00A40242">
        <w:rPr>
          <w:rStyle w:val="DipnotBavurusu"/>
          <w:rFonts w:ascii="Palatino Linotype" w:hAnsi="Palatino Linotype" w:cstheme="minorHAnsi"/>
          <w:sz w:val="21"/>
          <w:szCs w:val="21"/>
        </w:rPr>
        <w:footnoteReference w:id="235"/>
      </w:r>
      <w:r w:rsidRPr="00A40242">
        <w:rPr>
          <w:rFonts w:ascii="Palatino Linotype" w:hAnsi="Palatino Linotype" w:cstheme="minorHAnsi"/>
          <w:sz w:val="21"/>
          <w:szCs w:val="21"/>
        </w:rPr>
        <w:t xml:space="preserve"> demiştir. </w:t>
      </w:r>
    </w:p>
    <w:p w14:paraId="417DA5AA"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Sözleşme’nin 17. ve 18. maddeleriyle ilgili AİHM tarafından verilen karar sayısı olukça azdır. Bunun nedenlerinden biri, her iki madde açısından da kamu makamlarının iyi niyetini sorgulama zorunluluğu ve yapılan işlemlerde kötü niyetin ispatının zor olması, diğeri de, bu maddelere dayanılarak yapılan başvurulardaki iddiaların ihlal kararı verilen aynı maddi olaylara dayanması ve AİHM'in bu iddiaları tekrar incelememesidir.</w:t>
      </w:r>
      <w:r w:rsidRPr="00A40242">
        <w:rPr>
          <w:rStyle w:val="DipnotBavurusu"/>
          <w:rFonts w:ascii="Palatino Linotype" w:hAnsi="Palatino Linotype" w:cstheme="minorHAnsi"/>
          <w:sz w:val="21"/>
          <w:szCs w:val="21"/>
        </w:rPr>
        <w:footnoteReference w:id="236"/>
      </w:r>
      <w:r w:rsidRPr="00A40242">
        <w:rPr>
          <w:rFonts w:ascii="Palatino Linotype" w:hAnsi="Palatino Linotype" w:cstheme="minorHAnsi"/>
          <w:sz w:val="21"/>
          <w:szCs w:val="21"/>
        </w:rPr>
        <w:t xml:space="preserve"> </w:t>
      </w:r>
    </w:p>
    <w:p w14:paraId="0C494799" w14:textId="77777777" w:rsidR="00936167" w:rsidRPr="00A40242" w:rsidRDefault="00936167" w:rsidP="00936167">
      <w:pPr>
        <w:spacing w:before="120" w:after="120" w:line="240" w:lineRule="auto"/>
        <w:ind w:firstLine="567"/>
        <w:jc w:val="both"/>
        <w:rPr>
          <w:rFonts w:ascii="Palatino Linotype" w:eastAsiaTheme="minorHAnsi" w:hAnsi="Palatino Linotype" w:cs="Times New Roman"/>
          <w:sz w:val="21"/>
          <w:szCs w:val="21"/>
          <w:lang w:eastAsia="en-US"/>
        </w:rPr>
      </w:pPr>
      <w:r w:rsidRPr="00A40242">
        <w:rPr>
          <w:rFonts w:ascii="Palatino Linotype" w:eastAsiaTheme="minorHAnsi" w:hAnsi="Palatino Linotype" w:cs="Times New Roman"/>
          <w:sz w:val="21"/>
          <w:szCs w:val="21"/>
          <w:lang w:eastAsia="en-US"/>
        </w:rPr>
        <w:t xml:space="preserve">AİHM, Türkiye ile ilgili ilk defa verdiği 18. maddenin ihlali kararında; bir hak veya özgürlüğün bazen Sözleşme’de öngörülmeyen bir amaç için de kısıtlanabildiğini, kısıtlamanın, Sözleşme'nin öngörmediği bir amaca yönelik olması halinde bu durumun 18. maddeye aykırılık oluşturabileceğini ve kısıtlamanın amacını değerlendirirken tedbirin süresi ve etkilerinin yansıra, </w:t>
      </w:r>
      <w:r w:rsidRPr="00A40242">
        <w:rPr>
          <w:rFonts w:ascii="Palatino Linotype" w:eastAsiaTheme="minorHAnsi" w:hAnsi="Palatino Linotype" w:cs="Times New Roman"/>
          <w:sz w:val="21"/>
          <w:szCs w:val="21"/>
          <w:lang w:eastAsia="en-US"/>
        </w:rPr>
        <w:lastRenderedPageBreak/>
        <w:t>iddia edilen gizli amacın mahiyetini dikkate aldığını belirtmiş,</w:t>
      </w:r>
      <w:r w:rsidRPr="00A40242">
        <w:rPr>
          <w:rFonts w:ascii="Palatino Linotype" w:eastAsiaTheme="minorHAnsi" w:hAnsi="Palatino Linotype" w:cs="Times New Roman"/>
          <w:sz w:val="21"/>
          <w:szCs w:val="21"/>
          <w:vertAlign w:val="superscript"/>
          <w:lang w:eastAsia="en-US"/>
        </w:rPr>
        <w:footnoteReference w:id="237"/>
      </w:r>
      <w:r w:rsidRPr="00A40242">
        <w:rPr>
          <w:rFonts w:ascii="Palatino Linotype" w:eastAsiaTheme="minorHAnsi" w:hAnsi="Palatino Linotype" w:cs="Times New Roman"/>
          <w:sz w:val="21"/>
          <w:szCs w:val="21"/>
          <w:lang w:eastAsia="en-US"/>
        </w:rPr>
        <w:t xml:space="preserve"> başka bir kararında da, başvurucu hakkında uygulanan tedbirin amacının; hükümeti eleştirmesinden veya hükümetin gizlemeye çalıştığını düşündüğü bilgileri yayamaya çalışmasından dolayı başvurucuyu cezalandırmak olduğunu ve bu nedenle yapılan işlemlerin iyi niyetle bağdaşmadığını ifade etmiştir.</w:t>
      </w:r>
      <w:r w:rsidRPr="00A40242">
        <w:rPr>
          <w:rFonts w:ascii="Palatino Linotype" w:eastAsiaTheme="minorHAnsi" w:hAnsi="Palatino Linotype" w:cs="Times New Roman"/>
          <w:sz w:val="21"/>
          <w:szCs w:val="21"/>
          <w:vertAlign w:val="superscript"/>
          <w:lang w:eastAsia="en-US"/>
        </w:rPr>
        <w:footnoteReference w:id="238"/>
      </w:r>
    </w:p>
    <w:p w14:paraId="724C6E14"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AYM de, olağanüstü dönemlerde getirilebilecek sınırlamaları ve bu sınırlamaların sınırını çok net olarak çizdiği ve AİHM içtihatlarıyla uyumlu olan bir kararında; </w:t>
      </w:r>
      <w:r w:rsidRPr="00A40242">
        <w:rPr>
          <w:rFonts w:ascii="Palatino Linotype" w:hAnsi="Palatino Linotype" w:cstheme="minorHAnsi"/>
          <w:i/>
          <w:sz w:val="21"/>
          <w:szCs w:val="21"/>
        </w:rPr>
        <w:t>"Olağanüstü halin gerekli kılmadığı konuların olağanüstü hal KHK'leriyle düzenlenmesi olanaksızdır. Olağanüstü halin gerekli kıldığı konular, olağanüstü halin neden ve amaç öğeleriyle sınırlıdır"</w:t>
      </w:r>
      <w:r w:rsidRPr="00A40242">
        <w:rPr>
          <w:rStyle w:val="DipnotBavurusu1"/>
          <w:rFonts w:ascii="Palatino Linotype" w:hAnsi="Palatino Linotype" w:cstheme="minorHAnsi"/>
          <w:sz w:val="21"/>
          <w:szCs w:val="21"/>
        </w:rPr>
        <w:footnoteReference w:id="239"/>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demiştir.</w:t>
      </w:r>
      <w:r w:rsidRPr="00A40242">
        <w:rPr>
          <w:rFonts w:ascii="Palatino Linotype" w:hAnsi="Palatino Linotype" w:cstheme="minorHAnsi"/>
          <w:i/>
          <w:sz w:val="21"/>
          <w:szCs w:val="21"/>
        </w:rPr>
        <w:t xml:space="preserve"> </w:t>
      </w:r>
      <w:r w:rsidRPr="00A40242">
        <w:rPr>
          <w:rFonts w:ascii="Palatino Linotype" w:hAnsi="Palatino Linotype" w:cstheme="minorHAnsi"/>
          <w:sz w:val="21"/>
          <w:szCs w:val="21"/>
        </w:rPr>
        <w:t>OHAL'in amacı neden öğesiyle kaynaşmış durumdadır. Başka bir anlatımla, OHAL'in varlığını gerektiren nedenler saptandığında amaç öğesi de gerçekleşmiş demektir. Şu durumda OHAL KHK'lerinin olağanüstü halin gerekli kıldığı konularda, olağanüstü halin amacı ve nedeniyle sınırlı çıkarılması gerekir. OHAL KHK'si çıkarma yetkisi OHAL süresiyle sınırlıdır. KHK ile getirilen kuralların OHAL öncesine uygulanmaları nasıl imkânsız ise OHAL sonrasında uygulanmaları veya başka bir zamanda ve yerde uygulanmak üzere geçerliliklerini korumaları da imkânsızdır. Bu nedenle, Anayasa'nın 148. Maddesi gereğince AYM denetimine tabi olmayan OHAL KHK'leri yalnızca OHAL süresince, OHAL ilan edilen yerlerde ve OHAL'in gerekli kıldığı konularda çıkarılan KHK'lerdir. Bu koşulları taşımayan KHK'ler OHAL KHK'si olarak kabul edilemeyecekleri gibi AYM denetimine de tabidirler.</w:t>
      </w:r>
      <w:r w:rsidRPr="00A40242">
        <w:rPr>
          <w:rStyle w:val="DipnotBavurusu"/>
          <w:rFonts w:ascii="Palatino Linotype" w:hAnsi="Palatino Linotype" w:cstheme="minorHAnsi"/>
          <w:sz w:val="21"/>
          <w:szCs w:val="21"/>
        </w:rPr>
        <w:footnoteReference w:id="240"/>
      </w:r>
    </w:p>
    <w:p w14:paraId="7927E9A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Yapılan açıklamalar ışığında HSYK kararını değerlendirmek gerekirse; 15 Temmuz sonrası ilan edilen OHAL'in amacı 667 sayılı OHAL KHK'sinin amaç ve kapsam başlıklı 1. maddesi </w:t>
      </w:r>
      <w:r w:rsidRPr="00A40242">
        <w:rPr>
          <w:rFonts w:ascii="Palatino Linotype" w:hAnsi="Palatino Linotype" w:cstheme="minorHAnsi"/>
          <w:sz w:val="21"/>
          <w:szCs w:val="21"/>
        </w:rPr>
        <w:lastRenderedPageBreak/>
        <w:t xml:space="preserve">gereğince; </w:t>
      </w:r>
      <w:r w:rsidRPr="00A40242">
        <w:rPr>
          <w:rFonts w:ascii="Palatino Linotype" w:hAnsi="Palatino Linotype" w:cstheme="minorHAnsi"/>
          <w:i/>
          <w:sz w:val="21"/>
          <w:szCs w:val="21"/>
        </w:rPr>
        <w:t>"darbe teşebbüsü ve terörle mücadele çerçevesinde alınması zaruri olan tedbirler ile bunlara ilişkin usul ve esasları belirlemektir"</w:t>
      </w:r>
      <w:r w:rsidRPr="00A40242">
        <w:rPr>
          <w:rFonts w:ascii="Palatino Linotype" w:hAnsi="Palatino Linotype" w:cstheme="minorHAnsi"/>
          <w:sz w:val="21"/>
          <w:szCs w:val="21"/>
        </w:rPr>
        <w:t xml:space="preserve"> ve OHAL KHK'sine dayanılarak 4286 hâkim ve savcının meslekten çıkarılmasının OHAL'in amacı ile bir ilgisi yoktur. Zira darbe teşebbüsüne kadar görev yapan ve belki de birçoğu hiçbir disiplin soruşturması geçirmemiş kişilerin yine herhangi bir disiplin süreci işletilmeden, somut ve inandırıcı bir delil gösterilmeden bir terör örgütüyle </w:t>
      </w:r>
      <w:r w:rsidRPr="00A40242">
        <w:rPr>
          <w:rFonts w:ascii="Palatino Linotype" w:hAnsi="Palatino Linotype" w:cstheme="minorHAnsi"/>
          <w:i/>
          <w:sz w:val="21"/>
          <w:szCs w:val="21"/>
        </w:rPr>
        <w:t>"irtibatlı"</w:t>
      </w:r>
      <w:r w:rsidRPr="00A40242">
        <w:rPr>
          <w:rFonts w:ascii="Palatino Linotype" w:hAnsi="Palatino Linotype" w:cstheme="minorHAnsi"/>
          <w:sz w:val="21"/>
          <w:szCs w:val="21"/>
        </w:rPr>
        <w:t xml:space="preserve"> ya da  </w:t>
      </w:r>
      <w:r w:rsidRPr="00A40242">
        <w:rPr>
          <w:rFonts w:ascii="Palatino Linotype" w:hAnsi="Palatino Linotype" w:cstheme="minorHAnsi"/>
          <w:i/>
          <w:sz w:val="21"/>
          <w:szCs w:val="21"/>
        </w:rPr>
        <w:t xml:space="preserve">"iltisaklı" </w:t>
      </w:r>
      <w:r w:rsidRPr="00A40242">
        <w:rPr>
          <w:rFonts w:ascii="Palatino Linotype" w:hAnsi="Palatino Linotype" w:cstheme="minorHAnsi"/>
          <w:sz w:val="21"/>
          <w:szCs w:val="21"/>
        </w:rPr>
        <w:t xml:space="preserve"> oldukları iddiasıyla meslekten çıkarılması orantısız ve açıkça OHAL'in amacına aykırıdır.</w:t>
      </w:r>
      <w:r w:rsidRPr="00A40242">
        <w:rPr>
          <w:rStyle w:val="DipnotBavurusu1"/>
          <w:rFonts w:ascii="Palatino Linotype" w:hAnsi="Palatino Linotype" w:cstheme="minorHAnsi"/>
          <w:sz w:val="21"/>
          <w:szCs w:val="21"/>
        </w:rPr>
        <w:footnoteReference w:id="241"/>
      </w:r>
      <w:r w:rsidRPr="00A40242">
        <w:rPr>
          <w:rFonts w:ascii="Palatino Linotype" w:hAnsi="Palatino Linotype" w:cstheme="minorHAnsi"/>
          <w:sz w:val="21"/>
          <w:szCs w:val="21"/>
        </w:rPr>
        <w:t xml:space="preserve"> </w:t>
      </w:r>
    </w:p>
    <w:p w14:paraId="0B3AA2C7"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Ayrıca, darbe girişimine TSK içinden bir grubun karışması, hâkim-savcıların darbeye fiili katılımlarına ve en ufak bir desteklerinin bulunduğuna ilişkin bir delilin bulunmaması</w:t>
      </w:r>
      <w:r w:rsidRPr="00A40242">
        <w:rPr>
          <w:rStyle w:val="DipnotBavurusu"/>
          <w:rFonts w:ascii="Palatino Linotype" w:hAnsi="Palatino Linotype" w:cstheme="minorHAnsi"/>
          <w:sz w:val="21"/>
          <w:szCs w:val="21"/>
        </w:rPr>
        <w:footnoteReference w:id="242"/>
      </w:r>
      <w:r w:rsidRPr="00A40242">
        <w:rPr>
          <w:rFonts w:ascii="Palatino Linotype" w:hAnsi="Palatino Linotype" w:cstheme="minorHAnsi"/>
          <w:sz w:val="21"/>
          <w:szCs w:val="21"/>
        </w:rPr>
        <w:t xml:space="preserve"> ve darbe girişiminin sabahında güvenlik güçlerince ülkede kontrolün yeniden sağlanması dikkate alındığında, ihraç kararına dayanak yapılan hususların OHAL'e neden olan tehlikenin bertaraf edilmesiyle bir alakası yoktur. HSYK'nın, bir gecede terör örgütü olduğu iddia edilen bir yapıyla ilgisi bulunduğunu tespit ettiği bu kadar hâkim-savcıyı o zamana kadar neden meslekte tuttuğunu, darbe teşebbüsüyle neyin değiştiğini ve hangi delillerin elde edildiğini kişiselleştirme yaparak ortaya koyması gerekirdi. Bu durum bile alınan kararın somut delil ve belgelerden öte önceden hazırlanan fişleme listelerine dayandığını ve 17. maddenin uygulanmasında önem arz eden hususlardan olan işlemin </w:t>
      </w:r>
      <w:r w:rsidRPr="00A40242">
        <w:rPr>
          <w:rFonts w:ascii="Palatino Linotype" w:hAnsi="Palatino Linotype" w:cstheme="minorHAnsi"/>
          <w:i/>
          <w:sz w:val="21"/>
          <w:szCs w:val="21"/>
        </w:rPr>
        <w:t>“kötü niyetle”</w:t>
      </w:r>
      <w:r w:rsidRPr="00A40242">
        <w:rPr>
          <w:rFonts w:ascii="Palatino Linotype" w:hAnsi="Palatino Linotype" w:cstheme="minorHAnsi"/>
          <w:sz w:val="21"/>
          <w:szCs w:val="21"/>
        </w:rPr>
        <w:t xml:space="preserve"> yapıldığını göstermektedir.</w:t>
      </w:r>
    </w:p>
    <w:p w14:paraId="6383655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OHAL KHK'leriyle yapılacak düzenlemeler yalnızca OHAL süresince geçerli olup, bu düzenlemelerin OHAL öncesi ve sonrası dönemlere teşmili mümkün değilken, yargı mensupları OHAL'den önceki özel yaşamlarına ilişkin nedenlerle ihraç edildikleri gibi, bu tedbir geçici bir görevden uzaklaştırma olmayıp meslekten tamamen çıkarmadır. Ayrıca, bu kişilerin 668 sayılı KHK'nin 4. maddesi gereğince kamu hizmetinde istihdamları yasaklanmış, silah ruhsatları ve pasaportları iptal edilmiştir. Başka bir ifadeyle, alınan tedbir OHAL sonrasında da geçerlidir ve OHAL’e yol açan tehlikeyi bertaraf etmek için değil, fişleme listelerinde yer alan yargı mensuplarını düşünceleri ve özel yaşamları nedeniyle cezalandırmak için uygulanmıştır.</w:t>
      </w:r>
      <w:r w:rsidRPr="00A40242">
        <w:rPr>
          <w:rStyle w:val="DipnotBavurusu"/>
          <w:rFonts w:ascii="Palatino Linotype" w:hAnsi="Palatino Linotype" w:cstheme="minorHAnsi"/>
          <w:sz w:val="21"/>
          <w:szCs w:val="21"/>
        </w:rPr>
        <w:footnoteReference w:id="243"/>
      </w:r>
      <w:r w:rsidRPr="00A40242">
        <w:rPr>
          <w:rFonts w:ascii="Palatino Linotype" w:hAnsi="Palatino Linotype" w:cstheme="minorHAnsi"/>
          <w:sz w:val="21"/>
          <w:szCs w:val="21"/>
        </w:rPr>
        <w:t xml:space="preserve"> Bu nedenle de öngörülen amaçla orantısızdır ve Sözleşme'nin 6., 7., 8., ve 14. maddeleri yanında 17. ve 18. maddelerine de aykırılık teşkil etmektedir. </w:t>
      </w:r>
    </w:p>
    <w:p w14:paraId="42D290AB" w14:textId="77777777" w:rsidR="00936167" w:rsidRPr="00595617" w:rsidRDefault="00936167" w:rsidP="00936167">
      <w:pPr>
        <w:pStyle w:val="Balk2"/>
        <w:numPr>
          <w:ilvl w:val="0"/>
          <w:numId w:val="43"/>
        </w:numPr>
        <w:spacing w:before="120" w:after="120" w:line="240" w:lineRule="auto"/>
        <w:ind w:left="993" w:hanging="426"/>
        <w:rPr>
          <w:rFonts w:cstheme="minorHAnsi"/>
          <w:b/>
          <w:bCs/>
          <w:sz w:val="21"/>
          <w:szCs w:val="21"/>
        </w:rPr>
      </w:pPr>
      <w:bookmarkStart w:id="20" w:name="_Toc7451338"/>
      <w:r w:rsidRPr="00595617">
        <w:rPr>
          <w:rFonts w:cstheme="minorHAnsi"/>
          <w:b/>
          <w:bCs/>
          <w:sz w:val="21"/>
          <w:szCs w:val="21"/>
        </w:rPr>
        <w:lastRenderedPageBreak/>
        <w:t>HSYK KARARI VE BİREYSEL BAŞVURU</w:t>
      </w:r>
      <w:bookmarkEnd w:id="20"/>
      <w:r w:rsidRPr="00595617">
        <w:rPr>
          <w:rFonts w:cstheme="minorHAnsi"/>
          <w:b/>
          <w:bCs/>
          <w:sz w:val="21"/>
          <w:szCs w:val="21"/>
        </w:rPr>
        <w:t xml:space="preserve"> </w:t>
      </w:r>
    </w:p>
    <w:p w14:paraId="2304CB7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 Bireysel başvuru hakkı 2010 yılında yapılan Anayasa değişikliği ile hukukumuza girmiştir. Bu hakka, Anayasa'nın 148. ve 6216 sayılı Kanun'un 45. maddelerinde yer verilmiştir. Bu hakkın daha geniş ve Anayasa'nın 148. maddesindeki ifadeyi de içine alır şekilde düzenlendiği yer 6216 sayılı Kanun'un 45/1. maddesidir. Maddede hakla ilgili; </w:t>
      </w:r>
      <w:r w:rsidRPr="00A40242">
        <w:rPr>
          <w:rFonts w:ascii="Palatino Linotype" w:hAnsi="Palatino Linotype" w:cstheme="minorHAnsi"/>
          <w:i/>
          <w:sz w:val="21"/>
          <w:szCs w:val="21"/>
        </w:rPr>
        <w:t>"herkes, Anayasada güvence altına alınmış temel hak ve özgürlüklerinden, AİHS ve buna ek Türkiye'nin taraf olduğu protokoller kapsamındaki herhangi birinin kamu gücü tarafından, ihlal edildiği iddiası ile Anayasa Mahkemesine başvurabilir"</w:t>
      </w:r>
      <w:r w:rsidRPr="00A40242">
        <w:rPr>
          <w:rFonts w:ascii="Palatino Linotype" w:hAnsi="Palatino Linotype" w:cstheme="minorHAnsi"/>
          <w:sz w:val="21"/>
          <w:szCs w:val="21"/>
        </w:rPr>
        <w:t xml:space="preserve"> ifadesine yer verilmiştir. Maddenin ikinci fıkrasında, bu yola müracaat edilmeden önce kanunda öngörülen idari ve yargısal başvuru yollarının tüketilmesi gerektiğine, üçüncü fıkrasında da, bireysel başvuruya konu olmayacak işlemlerin neler olduğuna yer verilmiş ve bu işlemlerden birinin de "</w:t>
      </w:r>
      <w:r w:rsidRPr="00A40242">
        <w:rPr>
          <w:rFonts w:ascii="Palatino Linotype" w:hAnsi="Palatino Linotype" w:cstheme="minorHAnsi"/>
          <w:i/>
          <w:sz w:val="21"/>
          <w:szCs w:val="21"/>
        </w:rPr>
        <w:t>Anayasa'nın yargı denetimi dışında bıraktığı işlemler"</w:t>
      </w:r>
      <w:r w:rsidRPr="00A40242">
        <w:rPr>
          <w:rFonts w:ascii="Palatino Linotype" w:hAnsi="Palatino Linotype" w:cstheme="minorHAnsi"/>
          <w:sz w:val="21"/>
          <w:szCs w:val="21"/>
        </w:rPr>
        <w:t xml:space="preserve"> olduğu belirtilmiştir. Bireysel başvuru idari ya da yargısal kararın kesinleşmesinden veya kesinleşmenin öğrenilmesinden itibaren 30 gün içinde yapılmalıdır.</w:t>
      </w:r>
      <w:r w:rsidRPr="00A40242">
        <w:rPr>
          <w:rStyle w:val="DipnotBavurusu1"/>
          <w:rFonts w:ascii="Palatino Linotype" w:hAnsi="Palatino Linotype" w:cstheme="minorHAnsi"/>
          <w:sz w:val="21"/>
          <w:szCs w:val="21"/>
        </w:rPr>
        <w:footnoteReference w:id="244"/>
      </w:r>
    </w:p>
    <w:p w14:paraId="09FE3175"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Anayasa'nın 159/10. maddesi gereğince HSYK'nın verdiği kararlardan sadece meslekten çıkarma cezası yargı denetimine tabi olsa da, HSYK'nın çalışmaya konu kararın </w:t>
      </w:r>
      <w:r w:rsidRPr="00A40242">
        <w:rPr>
          <w:rFonts w:ascii="Palatino Linotype" w:hAnsi="Palatino Linotype" w:cstheme="minorHAnsi"/>
          <w:i/>
          <w:sz w:val="21"/>
          <w:szCs w:val="21"/>
        </w:rPr>
        <w:t>"tedbir"</w:t>
      </w:r>
      <w:r w:rsidRPr="00A40242">
        <w:rPr>
          <w:rFonts w:ascii="Palatino Linotype" w:hAnsi="Palatino Linotype" w:cstheme="minorHAnsi"/>
          <w:sz w:val="21"/>
          <w:szCs w:val="21"/>
        </w:rPr>
        <w:t xml:space="preserve"> niteliğinde olduğu ve bu nedenle de yargı denetimi dışında kaldığı belirtilmiştir.</w:t>
      </w:r>
      <w:r w:rsidRPr="00A40242">
        <w:rPr>
          <w:rStyle w:val="DipnotBavurusu"/>
          <w:rFonts w:ascii="Palatino Linotype" w:hAnsi="Palatino Linotype" w:cstheme="minorHAnsi"/>
          <w:sz w:val="21"/>
          <w:szCs w:val="21"/>
        </w:rPr>
        <w:footnoteReference w:id="245"/>
      </w:r>
      <w:r w:rsidRPr="00A40242">
        <w:rPr>
          <w:rFonts w:ascii="Palatino Linotype" w:hAnsi="Palatino Linotype" w:cstheme="minorHAnsi"/>
          <w:sz w:val="21"/>
          <w:szCs w:val="21"/>
        </w:rPr>
        <w:t xml:space="preserve"> Ancak, 685 sayılı OHAL KHK'si ile meslekten çıkarılan yargı mensuplarına HSYK kararı aleyhine Danıştay'a dava açma hakkı tanınmıştır. AYM'ye başvuru yapılabilmesi için iç hukukta öngörülen idari ve yargısal başvuru yollarının tamamı tüketilmesi gerektiğinden, ilgililerin öncelikle OHAL KHK'sinde belirtilen usule uygun olarak Danıştay'a dava açmaları, bu dava neticesinde verilen kararın hak ihlallerini gidermediğini düşünmeleri halinde de kesinleşmesinden itibaren 30 gün içinde AYM'ye bireysel başvuruda bulunmaları gerekir. Bireysel başvuru prosedürünün bu şekilde olması nedeniyle, 685 sayılı OHAL KHK'sinin yayımından önce AYM ve AİHM'e yapılan başvuruların iç hukukta öngörülen başvuru yollarının tüketilmediği gerekçesiyle reddi büyük olasılıktır.</w:t>
      </w:r>
      <w:r w:rsidRPr="00A40242">
        <w:rPr>
          <w:rStyle w:val="DipnotBavurusu"/>
          <w:rFonts w:ascii="Palatino Linotype" w:hAnsi="Palatino Linotype" w:cstheme="minorHAnsi"/>
          <w:sz w:val="21"/>
          <w:szCs w:val="21"/>
        </w:rPr>
        <w:footnoteReference w:id="246"/>
      </w:r>
    </w:p>
    <w:p w14:paraId="77BC02D5" w14:textId="77777777" w:rsidR="00936167"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Getirilen düzenleme bu haliyle meslekten çıkarılan hâkim ve savcıların AİHM'e yapacakları başvuruları geciktirici niteliktedir. Zira 685 sayılı OHAL KHK'sinin yayımından önce HSYK kararının yargı denetimi dışında bulunması ve AYM'ye bireysel başvuruya konu olmaması nedeniyle ilgililer doğrudan AİHM'e başvurabilirlerdi. Ancak, 685 sayılı KHK ile yeni bir başvuru yolu öngörüldüğünden aleyhine müracaat edilecek karar HSYK kararı olmayıp, Danıştay kararıdır ve Danıştay kararları aleyhine bireysel başvuru yasağı yoktur. Bu nedenle ilgililerin öncelikle bu karar aleyhine AYM'ye, AYM'nin ihlal iddialarını karşılamadığını düşünmeleri halinde de kararın kesinleşmesinden itibaren 6 ay içinde AİHM'e başvurmaları gerekir. Zira AİHM, kendisine başvuru yapılabilmesi için iç hukuk yollarının tüketilmesini yani öncelikle AYM'ye başvurulmasını istemekte ve bu şekilde yapılmayan başvuruları reddetmektedir.</w:t>
      </w:r>
      <w:r w:rsidRPr="00A40242">
        <w:rPr>
          <w:rStyle w:val="DipnotBavurusu1"/>
          <w:rFonts w:ascii="Palatino Linotype" w:hAnsi="Palatino Linotype" w:cstheme="minorHAnsi"/>
          <w:sz w:val="21"/>
          <w:szCs w:val="21"/>
        </w:rPr>
        <w:footnoteReference w:id="247"/>
      </w:r>
    </w:p>
    <w:p w14:paraId="3C7EF6C7" w14:textId="77777777" w:rsidR="00F94CCD" w:rsidRDefault="00F94CCD" w:rsidP="00936167">
      <w:pPr>
        <w:spacing w:before="120" w:after="120" w:line="240" w:lineRule="auto"/>
        <w:ind w:firstLine="567"/>
        <w:jc w:val="both"/>
        <w:rPr>
          <w:rFonts w:ascii="Palatino Linotype" w:hAnsi="Palatino Linotype" w:cstheme="minorHAnsi"/>
          <w:sz w:val="21"/>
          <w:szCs w:val="21"/>
        </w:rPr>
      </w:pPr>
    </w:p>
    <w:p w14:paraId="10E0F4A3" w14:textId="77777777" w:rsidR="00F94CCD" w:rsidRPr="00A40242" w:rsidRDefault="00F94CCD" w:rsidP="00936167">
      <w:pPr>
        <w:spacing w:before="120" w:after="120" w:line="240" w:lineRule="auto"/>
        <w:ind w:firstLine="567"/>
        <w:jc w:val="both"/>
        <w:rPr>
          <w:rFonts w:ascii="Palatino Linotype" w:hAnsi="Palatino Linotype" w:cstheme="minorHAnsi"/>
          <w:sz w:val="21"/>
          <w:szCs w:val="21"/>
        </w:rPr>
      </w:pPr>
    </w:p>
    <w:p w14:paraId="02C5A177" w14:textId="77777777" w:rsidR="00936167" w:rsidRPr="00A40242" w:rsidRDefault="00936167" w:rsidP="00936167">
      <w:pPr>
        <w:pStyle w:val="Balk1"/>
        <w:spacing w:before="120" w:after="120" w:line="240" w:lineRule="auto"/>
        <w:rPr>
          <w:rFonts w:cstheme="minorHAnsi"/>
          <w:color w:val="auto"/>
          <w:sz w:val="21"/>
          <w:szCs w:val="21"/>
        </w:rPr>
      </w:pPr>
      <w:bookmarkStart w:id="21" w:name="_Toc7451339"/>
      <w:r w:rsidRPr="00A40242">
        <w:rPr>
          <w:rFonts w:cstheme="minorHAnsi"/>
          <w:color w:val="auto"/>
          <w:sz w:val="21"/>
          <w:szCs w:val="21"/>
        </w:rPr>
        <w:lastRenderedPageBreak/>
        <w:t>S O N U Ç</w:t>
      </w:r>
      <w:bookmarkEnd w:id="21"/>
    </w:p>
    <w:p w14:paraId="72CFFDE9"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15 Temmuz 2016 tarihinde gerçekleştirilen darbe teşebbüsünü gerekçe göstererek, HSYK Genel Kurulu 16 Temmuz 2016 günü kendi beş üyesi de dâhil olmak üzere ilk etapta 2845 kişiyi görevden uzaklaştırmış, 23 Temmuz 2016 tarihinde çıkarılan 667 sayılı OHAL KHK'sinin 3. maddesine dayanarak da toplam 4286 hâkim-savcıyı meslekten çıkarmıştır. HSYK'nın bu kararı tartışmaları ve eleştirileri de beraberinde getirmiştir. Karara yönelik eleştirilerin başında, bu kadar sayıda hâkim-savcının bir gecede nasıl terör örgütü olduğu iddia edilen bir yapı ile irtibatlı ya da iltisaklı olduğunun tespit edilebildiği gelmektedir. Ancak, kararın aylar öncesinden hazırlanan listeler dikkate alınarak verildiği bizzat HSYK Başkanvekillerinin açıklamalarıyla sabittir. </w:t>
      </w:r>
    </w:p>
    <w:p w14:paraId="304CCFE1"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Karara yöneltilen eleştirilerden bir diğeri, çok ağır sonuçlar doğuran bu karardan önce hâkim-savcıların savunmalarının dahi alınmaması ve hiçbir güvenceden yararlandırılmamaları olmuştur. Kararda, terör örgütü olduğu iddia edilen yapının tarihçesine, yapılanmasına, bu yapıyla irtibatlı olduğu iddia edilen yargı mensupları hakkında yapılan soruşturmalara ve 15 Temmuz sonrası yaşanan sürece yer verilmesine rağmen, kime hangi suçlamanın yapıldığına yer verilmemiş ve yargı mensuplarının tamamı aynı şablon gerekçeyle ihraç edilmiştir.</w:t>
      </w:r>
    </w:p>
    <w:p w14:paraId="0DCFBB70"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Sözleşme maddeleriyle ilgili yapılan açıklamalarda da yer verildiği üzere, karar AİHS'in birçok maddesini ihlal edecek niteliktedir. Öncelikle, 6087 sayılı Kanun gereğince meslekten çıkarma kararını verme yetkisi HSYK'nın 2. Dairesinde olmasına rağmen, kararları HSYK Genel Kurulu vermiştir. Kararın, disiplin cezası olarak verilen meslekten çıkarma cezası olarak değil </w:t>
      </w:r>
      <w:r w:rsidRPr="00A40242">
        <w:rPr>
          <w:rFonts w:ascii="Palatino Linotype" w:hAnsi="Palatino Linotype" w:cstheme="minorHAnsi"/>
          <w:i/>
          <w:sz w:val="21"/>
          <w:szCs w:val="21"/>
        </w:rPr>
        <w:t>“nihai sonuç doğuran olağanüstü bir tedbir”</w:t>
      </w:r>
      <w:r w:rsidRPr="00A40242">
        <w:rPr>
          <w:rFonts w:ascii="Palatino Linotype" w:hAnsi="Palatino Linotype" w:cstheme="minorHAnsi"/>
          <w:sz w:val="21"/>
          <w:szCs w:val="21"/>
        </w:rPr>
        <w:t xml:space="preserve"> olarak kabul edilmesi nedeniyle, Anayasa'nın 159/10. ve 6087 sayılı Kanun'un 33/5. maddeleri gereğince aleyhine Danıştay'a dava açma imkânı yoktur. Ancak, 685 sayılı OHAL KHK'si ile karar aleyhine Danıştay'a dava açabilme imkânı getirilerek ilgililere mahkemeye erişim hakkı tanınmıştır.</w:t>
      </w:r>
    </w:p>
    <w:p w14:paraId="75568336"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Yine, karar ilgili yargı mensuplarına tebliğ edilmesine rağmen isimleri HSYK'nın internet sitesinde de yayımlanmış, bu kişiler günlerce yazılı ve görsel basında terör örgütü üyesi gibi gösterilmiş, yetkili makamların göstermeleri gereken özen yükümlülüğüne riayet etmemeleri nedeniyle masumiyet karineleri ihlal edilmiştir. Ayrıca, karardan önce yargı mensuplarına savunma hakkı da verilmemiş ve bu suretle de adil yargılanma hakları ihlal edilmiştir. Kısacası, AİHS'in 6. maddesinin 1., 2. ve 3. fıkralarına aykırı hareket edilmiştir. </w:t>
      </w:r>
    </w:p>
    <w:p w14:paraId="12F4B26B"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Kararda yer verilen hususlar meslekten çıkarılan kişilerin geçmişteki davranışlarını cezalandırması nedeniyle öngörülebilir olmadığı gibi, geriye yürümezlik ilkesine de aykırıdır ve bu nedenle ilgililerin AİHS'in 7. maddesi kapsamındaki hakları ihlal edilmiştir.</w:t>
      </w:r>
    </w:p>
    <w:p w14:paraId="506D79D4"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Karar, hâkim-savcıların mesleki faaliyetlerinden öte, özel hayatları nedeniyle verildiğinden Sözleşme'nin 8. maddesine aykırılık teşkil etmektedir.  </w:t>
      </w:r>
    </w:p>
    <w:p w14:paraId="12E79462"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Meslekten çıkarılan yargı mensupları HSYK Başkanvekillerinin belirttiği gibi 2014 yılından itibaren oluşturulan fişleme listelerinde yer alan kişilerdir ve bu kişilerin listede yer almalarının nedeni bir gruba (YBP) destek vermemeleri ve özel yaşamlarıdır. YARSAV ve Yargı-Sen Derneği'ne üye olan çok sayıda yargı mensubunun ihracına karar verilip, neredeyse YBP üyesi hiçbir hâkim-savcının ihraç edilmemesi ve 2014 yılı ve sonrası bütün unvanlı görevlere bu derneğe üye kişilerin atanması meslekten çıkarılanlar aleyhine doğrudan ayrımcılık yapıldığına dair çok önemli bir karinedir. Bu durumun aksinin ispatı devlet makamlarına aittir ve aksinin ispat edilememesi Sözleşme'nin 14. maddesinin ihlaline neden olacaktır. </w:t>
      </w:r>
    </w:p>
    <w:p w14:paraId="59342953"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 xml:space="preserve">Kararla ilgili yeniden inceleme talebinin kararı veren Genel Kurul'ca incelenmesi, Genel Kurul'un ihraç kararlarını oybirliğiyle alması ve inceleme taleplerinin tamamına yakınını oy birliğiyle reddetmesi nedeniyle, yeniden inceleme talebinin etkili bir başvuru yolu sunduğu </w:t>
      </w:r>
      <w:r w:rsidRPr="00A40242">
        <w:rPr>
          <w:rFonts w:ascii="Palatino Linotype" w:hAnsi="Palatino Linotype" w:cstheme="minorHAnsi"/>
          <w:sz w:val="21"/>
          <w:szCs w:val="21"/>
        </w:rPr>
        <w:lastRenderedPageBreak/>
        <w:t>söylenemez. Ancak, 685 sayılı OHAL KHK'si ile karara karşı yargı yolunun açılması nedeniyle, ilgililerin etkili başvuru yapabilmelerinin önündeki engel kalkmıştır.</w:t>
      </w:r>
    </w:p>
    <w:p w14:paraId="4122380F" w14:textId="77777777" w:rsidR="00936167" w:rsidRPr="00A40242" w:rsidRDefault="00936167" w:rsidP="00936167">
      <w:pPr>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Kararın gerekçesindeki hususların kapsamının çok geniş olması, mesleki hayattan çok özel hayata ilişkin konuları içermesi ve kişiselleştirme yapmadan şablon gerekçeyle farklı zamanlarda ve gruplar halinde binlerce kişinin ihracına karar verilmesi, diğer yargı mensupları üzerinde çok ciddi caydırıcı etkiye neden olacak olup, bu durum açıkça hâkimlik-savcılık teminatına aykırıdır ve karardan sonra mesleğini kaybetmek istemeyen yargı mensuplarının bağımsız ve tarafsız şekilde karar verebilmeleri mümkün değildir.</w:t>
      </w:r>
    </w:p>
    <w:p w14:paraId="58CD684C" w14:textId="77777777" w:rsidR="00936167" w:rsidRPr="00A40242" w:rsidRDefault="00936167" w:rsidP="00936167">
      <w:pPr>
        <w:tabs>
          <w:tab w:val="left" w:pos="567"/>
          <w:tab w:val="left" w:pos="709"/>
        </w:tabs>
        <w:spacing w:before="120" w:after="120" w:line="240" w:lineRule="auto"/>
        <w:ind w:firstLine="567"/>
        <w:jc w:val="both"/>
        <w:rPr>
          <w:rFonts w:ascii="Palatino Linotype" w:hAnsi="Palatino Linotype" w:cstheme="minorHAnsi"/>
          <w:sz w:val="21"/>
          <w:szCs w:val="21"/>
        </w:rPr>
      </w:pPr>
      <w:r w:rsidRPr="00A40242">
        <w:rPr>
          <w:rFonts w:ascii="Palatino Linotype" w:hAnsi="Palatino Linotype" w:cstheme="minorHAnsi"/>
          <w:sz w:val="21"/>
          <w:szCs w:val="21"/>
        </w:rPr>
        <w:t>Türkiye, Avrupa Konseyi Genel Sekreterliğine gönderdiği yazıda sözleşmenin hangi maddelerini askıya aldığını belirtmeyip genel bir bildirimde bulunsa da, AİHS'in 15. maddesindeki askıya alma şartlarının varlığını değerlendirme yetkisinin AİHM'de bulunması ve OHAL'in getiriliş amacıyla alınan tedbirlerin orantısız olması nedeniyle, AİHM'in Türkiye aleyhine verdiği önceki kararlarında olduğu gibi yine Türkiye'nin askıya alma beyanını reddetmesi ve OHAL uygulamalarının Sözleşme'ye aykırı olduğuna karar vermesi yüksek ihtimaldir.</w:t>
      </w:r>
    </w:p>
    <w:p w14:paraId="479AE7CD" w14:textId="77777777" w:rsidR="00AE5852" w:rsidRDefault="00AE5852"/>
    <w:sectPr w:rsidR="00AE5852" w:rsidSect="00FD6CE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CB79" w14:textId="77777777" w:rsidR="00447E35" w:rsidRDefault="00447E35" w:rsidP="00936167">
      <w:pPr>
        <w:spacing w:after="0" w:line="240" w:lineRule="auto"/>
      </w:pPr>
      <w:r>
        <w:separator/>
      </w:r>
    </w:p>
  </w:endnote>
  <w:endnote w:type="continuationSeparator" w:id="0">
    <w:p w14:paraId="65AB9336" w14:textId="77777777" w:rsidR="00447E35" w:rsidRDefault="00447E35" w:rsidP="00936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font333">
    <w:altName w:val="Times New Roman"/>
    <w:charset w:val="A2"/>
    <w:family w:val="auto"/>
    <w:pitch w:val="variable"/>
  </w:font>
  <w:font w:name="SimSun">
    <w:altName w:val="宋体"/>
    <w:panose1 w:val="02010600030101010101"/>
    <w:charset w:val="86"/>
    <w:family w:val="auto"/>
    <w:pitch w:val="variable"/>
    <w:sig w:usb0="00000203" w:usb1="288F0000" w:usb2="00000016" w:usb3="00000000" w:csb0="00040001" w:csb1="00000000"/>
  </w:font>
  <w:font w:name="font332">
    <w:altName w:val="Times New Roman"/>
    <w:charset w:val="A2"/>
    <w:family w:val="auto"/>
    <w:pitch w:val="variable"/>
  </w:font>
  <w:font w:name="font334">
    <w:altName w:val="Times New Roman"/>
    <w:charset w:val="A2"/>
    <w:family w:val="auto"/>
    <w:pitch w:val="variable"/>
  </w:font>
  <w:font w:name="Cambria">
    <w:panose1 w:val="02040503050406030204"/>
    <w:charset w:val="00"/>
    <w:family w:val="roman"/>
    <w:pitch w:val="variable"/>
    <w:sig w:usb0="E00006FF" w:usb1="420024FF" w:usb2="02000000" w:usb3="00000000" w:csb0="0000019F" w:csb1="00000000"/>
  </w:font>
  <w:font w:name="PalatinoLinotype-Italic">
    <w:altName w:val="MS Gothic"/>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582173"/>
      <w:docPartObj>
        <w:docPartGallery w:val="Page Numbers (Bottom of Page)"/>
        <w:docPartUnique/>
      </w:docPartObj>
    </w:sdtPr>
    <w:sdtContent>
      <w:p w14:paraId="03B4595B" w14:textId="42477787" w:rsidR="00F94CCD" w:rsidRDefault="00F94CCD">
        <w:pPr>
          <w:pStyle w:val="AltBilgi"/>
          <w:jc w:val="center"/>
        </w:pPr>
        <w:r>
          <w:fldChar w:fldCharType="begin"/>
        </w:r>
        <w:r>
          <w:instrText>PAGE   \* MERGEFORMAT</w:instrText>
        </w:r>
        <w:r>
          <w:fldChar w:fldCharType="separate"/>
        </w:r>
        <w:r>
          <w:t>2</w:t>
        </w:r>
        <w:r>
          <w:fldChar w:fldCharType="end"/>
        </w:r>
      </w:p>
    </w:sdtContent>
  </w:sdt>
  <w:p w14:paraId="4BB503AD" w14:textId="77777777" w:rsidR="00F94CCD" w:rsidRDefault="00F94CC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38607" w14:textId="77777777" w:rsidR="00447E35" w:rsidRDefault="00447E35" w:rsidP="00936167">
      <w:pPr>
        <w:spacing w:after="0" w:line="240" w:lineRule="auto"/>
      </w:pPr>
      <w:r>
        <w:separator/>
      </w:r>
    </w:p>
  </w:footnote>
  <w:footnote w:type="continuationSeparator" w:id="0">
    <w:p w14:paraId="7021DD96" w14:textId="77777777" w:rsidR="00447E35" w:rsidRDefault="00447E35" w:rsidP="00936167">
      <w:pPr>
        <w:spacing w:after="0" w:line="240" w:lineRule="auto"/>
      </w:pPr>
      <w:r>
        <w:continuationSeparator/>
      </w:r>
    </w:p>
  </w:footnote>
  <w:footnote w:id="1">
    <w:p w14:paraId="5B270513"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23/7/2016 tarihli ve 29779 sayılı Resmi Gazete. </w:t>
      </w:r>
    </w:p>
  </w:footnote>
  <w:footnote w:id="2">
    <w:p w14:paraId="02FA7F1A"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w:t>
      </w:r>
      <w:r w:rsidRPr="00595617">
        <w:rPr>
          <w:rFonts w:ascii="Palatino Linotype" w:hAnsi="Palatino Linotype" w:cstheme="minorHAnsi"/>
          <w:i/>
          <w:iCs/>
          <w:color w:val="000000" w:themeColor="text1"/>
          <w:sz w:val="18"/>
          <w:szCs w:val="18"/>
        </w:rPr>
        <w:t>Terör örgütlerine veya Milli Güvenlik Kurulunca Devletin Milli güvenliğine karşı faaliyette bulunduğuna karar verilen yapı, oluşum veya gruplara üyeliği, mensubiyeti veya iltisakı yahut bunlarla irtibatı olduğu değerlendirilen Anayasa Mahkemesi üyeleri hakkında Anayasa Mahkemesi Genel Kurulunun salt çoğunluğunca; Yargıtay daire başkanı ve üyeleri hakkında Yargıtay Birinci Başkanlık Kurulunca; Danıştay daire başkanı ve üyeleri hakkında Danıştay Başkanlık Kurulunca; hakim ve savcılar hakkında Hakimler ve Savcılar Yüksek Kurulu Genel Kurulunca ve Sayıştay meslek mensupları hakkında Sayıştay Başkanının başkanlığında, başkan yardımcıları ile Sayıştay Başkanı tarafından belirlenecek bir daire başkanı ve bir üyeden oluşan komisyonca meslekte kalmalarının uygun olup olmadığına ve meslekten çıkarılmalarına karar verilir.”</w:t>
      </w:r>
    </w:p>
  </w:footnote>
  <w:footnote w:id="3">
    <w:p w14:paraId="5EEAA9B6"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HSYK Genel Kurulu 24/08/2016 tarihinde 2847, 31/08/2016 tarihinde 543, 04/10/2016 tarihinde 66, 15/11/2016 tarihinde 203, 13/02/2017 tarihinde 227, 17/03/2017 tarihinde 202, 03/04/2017 tarihinde 45, 05/05/2017 tarihinde 107 ve 05/10/2017 tarihinde 29, hâkim ve savcının meslekten çıkarılmasına karar vermiştir. AYM'nin Selçuk Özdemir (Genel Kurul) Kararı, B.No:2016/49158, 26/07/2017, P.19; Ayrıca, 10/01/2019 tarihinde de 17 hâkim ve savcının meslekten çıkarılmasına karar verilmiştir. </w:t>
      </w:r>
      <w:hyperlink r:id="rId1" w:history="1">
        <w:r w:rsidRPr="00595617">
          <w:rPr>
            <w:rFonts w:ascii="Palatino Linotype" w:hAnsi="Palatino Linotype" w:cstheme="minorHAnsi"/>
            <w:color w:val="000000" w:themeColor="text1"/>
            <w:sz w:val="18"/>
            <w:szCs w:val="18"/>
          </w:rPr>
          <w:t>http://www.resmigazete.gov.tr/eskiler/2019/01/20190111-1.pdf</w:t>
        </w:r>
      </w:hyperlink>
      <w:r w:rsidRPr="00595617">
        <w:rPr>
          <w:rFonts w:ascii="Palatino Linotype" w:hAnsi="Palatino Linotype" w:cstheme="minorHAnsi"/>
          <w:color w:val="000000" w:themeColor="text1"/>
          <w:sz w:val="18"/>
          <w:szCs w:val="18"/>
        </w:rPr>
        <w:t>.</w:t>
      </w:r>
    </w:p>
  </w:footnote>
  <w:footnote w:id="4">
    <w:p w14:paraId="6B7D9DD5"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https://www.cnnturk.com/turkiye/hakim-ve-savcilar-iftarda-bulustu-devletin-yanindayiz</w:t>
      </w:r>
    </w:p>
  </w:footnote>
  <w:footnote w:id="5">
    <w:p w14:paraId="4D1CE8BE"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http://cumhuriyet.com.tr/m/haber/turkiye/604177/HSYK-ihraclarin-neden-darbeyi-bekledigini-acikladi.html.</w:t>
      </w:r>
    </w:p>
  </w:footnote>
  <w:footnote w:id="6">
    <w:p w14:paraId="69199E4F"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b/>
          <w:color w:val="000000" w:themeColor="text1"/>
          <w:sz w:val="18"/>
          <w:szCs w:val="18"/>
        </w:rPr>
        <w:tab/>
      </w:r>
      <w:r w:rsidRPr="00595617">
        <w:rPr>
          <w:rFonts w:ascii="Palatino Linotype" w:hAnsi="Palatino Linotype" w:cstheme="minorHAnsi"/>
          <w:color w:val="000000" w:themeColor="text1"/>
          <w:sz w:val="18"/>
          <w:szCs w:val="18"/>
        </w:rPr>
        <w:t>http://cumhuriyet.com.tr/m/koseyazisi/614303/HSYK-Baskanvekili-Avrupa-tercumeyi-bile-beklemedi.html.</w:t>
      </w:r>
    </w:p>
  </w:footnote>
  <w:footnote w:id="7">
    <w:p w14:paraId="16DB1C03"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 https://t24.com.tr/haber/hsyk-ihraclari-ancak-khkyla-yapabildik,361238.</w:t>
      </w:r>
    </w:p>
  </w:footnote>
  <w:footnote w:id="8">
    <w:p w14:paraId="6ECE545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“4 Bin Paralel Hakim Meslekten Atılmalı”,</w:t>
      </w:r>
      <w:r w:rsidRPr="00595617">
        <w:rPr>
          <w:rFonts w:ascii="Palatino Linotype" w:hAnsi="Palatino Linotype" w:cstheme="minorHAnsi"/>
          <w:color w:val="000000" w:themeColor="text1"/>
          <w:sz w:val="18"/>
          <w:szCs w:val="18"/>
        </w:rPr>
        <w:t xml:space="preserve"> https://www.hukukihaber.net/siyaset/4-bin-paralel-hakim-meslekten-atilmali-h47886.html.</w:t>
      </w:r>
    </w:p>
  </w:footnote>
  <w:footnote w:id="9">
    <w:p w14:paraId="7C87533E"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Cumhurbaşkanı R. Tayyip Erdoğan 22/9/2016 tarihinde yaptığı açıklamada; “</w:t>
      </w:r>
      <w:r w:rsidRPr="00595617">
        <w:rPr>
          <w:rFonts w:ascii="Palatino Linotype" w:hAnsi="Palatino Linotype" w:cstheme="minorHAnsi"/>
          <w:i/>
          <w:iCs/>
          <w:color w:val="000000" w:themeColor="text1"/>
          <w:sz w:val="18"/>
          <w:szCs w:val="18"/>
        </w:rPr>
        <w:t>Şu andaki süreç içerisinde normal zamanlarda yapamayacağımız bir çok şeyi hamdolsun yapabilme imkanına, gücüne sahip olduk. Normal şartlarda bunları geri alabilir miydik? Alamazdık ama şimdi KHK ve OHAL ile bunların hepsini toplayarak bu okulları devlete teslim ettik</w:t>
      </w:r>
      <w:r w:rsidRPr="00595617">
        <w:rPr>
          <w:rFonts w:ascii="Palatino Linotype" w:hAnsi="Palatino Linotype" w:cstheme="minorHAnsi"/>
          <w:color w:val="000000" w:themeColor="text1"/>
          <w:sz w:val="18"/>
          <w:szCs w:val="18"/>
        </w:rPr>
        <w:t>” demiştir. http://www.sanalbasin.com/son-dakika-cumhurbaskani-erdogandan-onemli-aciklamalar-guncel-haberler-15533590.</w:t>
      </w:r>
    </w:p>
  </w:footnote>
  <w:footnote w:id="10">
    <w:p w14:paraId="6E915B3F"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Avrupa Parlamentosu, Avrupa Komisyonu, Avrupa Konseyi İnsan Hakları Komiseri ve İnsan Hakları İzleme Örgütü ve Venedik Komisyonu gibi birçok önemli kurumun raporlarını ve açıklamalarını dikkate alan ENJC, HSYK'nın gözlemci statüsünü askıya almıştır. ENJC, Avrupa Birliği ülkelerinde yasama ve yürütmeden bağımsız olan ve yargının bağımsızlığı için çalışan kurum ve kuruluşları çatısı altında toplamaktadır. AB'ye aday ülkeler, ENJC çalışmalarına gözlemci statüsünde katılmaktadır. ENJC'nin, HSYK ile ilgili böyle bir karar almasının nedeni olarak; 15 Temmuz darbe girişiminden sonra görevinden alınan binlerce hâkim-savcının durumu, kararlarda asgari uluslararası standartlara uyulduğu konusunda tatmin edici bilgi edinilememesi, HSYK’nın yaptığı bilgilendirmenin yeterli görülmemesi, HSYK'nın ENJC mevzuatına uymaması ve artık yasama ve yürütmeden bağımsız bir adalet dağıtma sorumluluğundan uzak olması gösterilmiştir. HSYK bu karardan sonra ENJC'nin faaliyetlerine katılamayacaktır. "</w:t>
      </w:r>
      <w:r w:rsidRPr="00595617">
        <w:rPr>
          <w:rFonts w:ascii="Palatino Linotype" w:hAnsi="Palatino Linotype" w:cstheme="minorHAnsi"/>
          <w:i/>
          <w:iCs/>
          <w:color w:val="000000" w:themeColor="text1"/>
          <w:sz w:val="18"/>
          <w:szCs w:val="18"/>
        </w:rPr>
        <w:t>Yargıdan Yaptırım, Avrupa HSYK'nın Statüsünü Askıya Aldı</w:t>
      </w:r>
      <w:r w:rsidRPr="00595617">
        <w:rPr>
          <w:rFonts w:ascii="Palatino Linotype" w:hAnsi="Palatino Linotype" w:cstheme="minorHAnsi"/>
          <w:color w:val="000000" w:themeColor="text1"/>
          <w:sz w:val="18"/>
          <w:szCs w:val="18"/>
        </w:rPr>
        <w:t>", Hürriyet Gazetesi 10/12/2016, s.18; "</w:t>
      </w:r>
      <w:r w:rsidRPr="00595617">
        <w:rPr>
          <w:rFonts w:ascii="Palatino Linotype" w:hAnsi="Palatino Linotype" w:cstheme="minorHAnsi"/>
          <w:i/>
          <w:iCs/>
          <w:color w:val="000000" w:themeColor="text1"/>
          <w:sz w:val="18"/>
          <w:szCs w:val="18"/>
        </w:rPr>
        <w:t>Türk Yargısı Küme Düştü</w:t>
      </w:r>
      <w:r w:rsidRPr="00595617">
        <w:rPr>
          <w:rFonts w:ascii="Palatino Linotype" w:hAnsi="Palatino Linotype" w:cstheme="minorHAnsi"/>
          <w:color w:val="000000" w:themeColor="text1"/>
          <w:sz w:val="18"/>
          <w:szCs w:val="18"/>
        </w:rPr>
        <w:t>", Cumhuriyet Gazetesi 10/12/2016, s.5.</w:t>
      </w:r>
    </w:p>
  </w:footnote>
  <w:footnote w:id="11">
    <w:p w14:paraId="5966651D"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Raporda, Adalet Bakanlığının HSYK'da veto hakkı bulunmasının hala bir endişe kaynağı olduğu, 5 HSYK üyesinin görevden alındığı, hâkim ve savcılar arasında yürütmenin çıkarlarını zedeleyecek herhangi bir adım atanın kariyerinin olumsuz etkileneceği nedeniyle hâkim ve savcılar arasında oto sansürün yaygınlaştığı, bugüne kadar 3 bin 390 hâkim ve savcının görevden uzaklaştırıldığı, alınan kararların bireyselleştirme yapılmadan alındığı, bağımsız görüşleriyle bilinen YARSAV Başkanının tutuklandığı, yeni üyelerin seçimi ve Cumhurbaşkanının rolü nedeniyle de Yargıtay ve Danıştay ile ilgili yapılan çok sayıda değişikliğin bu kurumların yürütmenin bir aracı haline geldiği algısını güçlendirdiği belirtilmiştir. “</w:t>
      </w:r>
      <w:r w:rsidRPr="00595617">
        <w:rPr>
          <w:rFonts w:ascii="Palatino Linotype" w:hAnsi="Palatino Linotype" w:cstheme="minorHAnsi"/>
          <w:i/>
          <w:iCs/>
          <w:color w:val="000000" w:themeColor="text1"/>
          <w:sz w:val="18"/>
          <w:szCs w:val="18"/>
        </w:rPr>
        <w:t>Gerileme Raporu</w:t>
      </w:r>
      <w:r w:rsidRPr="00595617">
        <w:rPr>
          <w:rFonts w:ascii="Palatino Linotype" w:hAnsi="Palatino Linotype" w:cstheme="minorHAnsi"/>
          <w:color w:val="000000" w:themeColor="text1"/>
          <w:sz w:val="18"/>
          <w:szCs w:val="18"/>
        </w:rPr>
        <w:t>”, Cumhuriyet Gazetesi, 10/11/2016, s.14.</w:t>
      </w:r>
    </w:p>
  </w:footnote>
  <w:footnote w:id="12">
    <w:p w14:paraId="4841F2A9"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w:t>
      </w:r>
      <w:r w:rsidRPr="00595617">
        <w:rPr>
          <w:rFonts w:ascii="Palatino Linotype" w:hAnsi="Palatino Linotype" w:cstheme="minorHAnsi"/>
          <w:i/>
          <w:iCs/>
          <w:color w:val="000000" w:themeColor="text1"/>
          <w:sz w:val="18"/>
          <w:szCs w:val="18"/>
        </w:rPr>
        <w:t>Türkiye'de Hukukun Üstünlüğü Sona Erdi</w:t>
      </w:r>
      <w:r w:rsidRPr="00595617">
        <w:rPr>
          <w:rFonts w:ascii="Palatino Linotype" w:hAnsi="Palatino Linotype" w:cstheme="minorHAnsi"/>
          <w:color w:val="000000" w:themeColor="text1"/>
          <w:sz w:val="18"/>
          <w:szCs w:val="18"/>
        </w:rPr>
        <w:t>”, Cumhuriyet Gazetesi, 10/11/2016, s.14.</w:t>
      </w:r>
    </w:p>
  </w:footnote>
  <w:footnote w:id="13">
    <w:p w14:paraId="2507112B"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HSYK’nın </w:t>
      </w:r>
      <w:r w:rsidRPr="00595617">
        <w:rPr>
          <w:rFonts w:ascii="Palatino Linotype" w:eastAsia="Times New Roman" w:hAnsi="Palatino Linotype" w:cstheme="minorHAnsi"/>
          <w:color w:val="000000" w:themeColor="text1"/>
          <w:sz w:val="18"/>
          <w:szCs w:val="18"/>
        </w:rPr>
        <w:t>16/07/2016 tarih ve 2016/4 tedbir sayılı kararı.</w:t>
      </w:r>
      <w:r w:rsidRPr="00595617">
        <w:rPr>
          <w:rFonts w:ascii="Palatino Linotype" w:hAnsi="Palatino Linotype" w:cstheme="minorHAnsi"/>
          <w:color w:val="000000" w:themeColor="text1"/>
          <w:sz w:val="18"/>
          <w:szCs w:val="18"/>
        </w:rPr>
        <w:t xml:space="preserve"> </w:t>
      </w:r>
      <w:hyperlink r:id="rId2" w:history="1">
        <w:r w:rsidRPr="00595617">
          <w:rPr>
            <w:rStyle w:val="Kpr"/>
            <w:rFonts w:ascii="Palatino Linotype" w:eastAsia="Times New Roman" w:hAnsi="Palatino Linotype" w:cstheme="minorHAnsi"/>
            <w:sz w:val="18"/>
            <w:szCs w:val="18"/>
          </w:rPr>
          <w:t>http://www.milliyet.com.tr/hsyk-acikladi-2-bin-745-hakim-gundem-2278880/</w:t>
        </w:r>
      </w:hyperlink>
      <w:r w:rsidRPr="00595617">
        <w:rPr>
          <w:rFonts w:ascii="Palatino Linotype" w:eastAsia="Times New Roman" w:hAnsi="Palatino Linotype" w:cstheme="minorHAnsi"/>
          <w:color w:val="000000" w:themeColor="text1"/>
          <w:sz w:val="18"/>
          <w:szCs w:val="18"/>
        </w:rPr>
        <w:t>; https://www.sabah.com.tr/aktuel/2016/07/17/iste-aciga-alinan-fetocu-hakim-ve-savcilar</w:t>
      </w:r>
    </w:p>
  </w:footnote>
  <w:footnote w:id="14">
    <w:p w14:paraId="1B2A54F2"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r>
      <w:r w:rsidRPr="00595617">
        <w:rPr>
          <w:rFonts w:ascii="Palatino Linotype" w:hAnsi="Palatino Linotype" w:cstheme="minorHAnsi"/>
          <w:color w:val="000000" w:themeColor="text1"/>
          <w:sz w:val="18"/>
          <w:szCs w:val="18"/>
        </w:rPr>
        <w:t>Sivas Sulh Ceza Hâkimliğinin 27/07/2016 tarihli ve 2016/157 sorgu numaralı kararı.</w:t>
      </w:r>
    </w:p>
  </w:footnote>
  <w:footnote w:id="15">
    <w:p w14:paraId="420995D7"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Kararın tamamı için bkz. www.hsyk.gov.tr, 24/08/2016 tarihli duyuru. http://hsk.gov.tr/DuyuruOku/889_hakimler-ve-savcilar-yuksek-kurulu-genel-kurulunun-24082016-tarihli-ve-2016426-sayili-karari-ile-.aspx</w:t>
      </w:r>
    </w:p>
  </w:footnote>
  <w:footnote w:id="16">
    <w:p w14:paraId="04C62F5A" w14:textId="79CB33F4"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İNCEOĞLU Sibel, </w:t>
      </w:r>
      <w:r w:rsidRPr="00595617">
        <w:rPr>
          <w:rFonts w:ascii="Palatino Linotype" w:hAnsi="Palatino Linotype" w:cstheme="minorHAnsi"/>
          <w:i/>
          <w:color w:val="000000" w:themeColor="text1"/>
          <w:sz w:val="18"/>
          <w:szCs w:val="18"/>
        </w:rPr>
        <w:t>"Adil Yargılanma Hakkı",</w:t>
      </w:r>
      <w:r w:rsidRPr="00595617">
        <w:rPr>
          <w:rFonts w:ascii="Palatino Linotype" w:hAnsi="Palatino Linotype" w:cstheme="minorHAnsi"/>
          <w:color w:val="000000" w:themeColor="text1"/>
          <w:sz w:val="18"/>
          <w:szCs w:val="18"/>
        </w:rPr>
        <w:t xml:space="preserve"> İnsan Hakları Avrupa Sözleşmesi ve Anayasa, (Editör: Sibel İNCEOĞLU), Avrupa Konseyi Yayını, Şen Matbaa, Ankara, 2013, s.209, </w:t>
      </w:r>
      <w:r w:rsidRPr="00595617">
        <w:rPr>
          <w:rFonts w:ascii="Palatino Linotype" w:hAnsi="Palatino Linotype" w:cstheme="minorHAnsi"/>
          <w:i/>
          <w:color w:val="000000" w:themeColor="text1"/>
          <w:sz w:val="18"/>
          <w:szCs w:val="18"/>
        </w:rPr>
        <w:t>("Adil")</w:t>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sz w:val="18"/>
          <w:szCs w:val="18"/>
        </w:rPr>
        <w:t>HARRIS David/O’BOYLE Micheal/BATES Ed/BUCKLEY Carlo, Avrupa İnsan Hakları Sözleşmesi Hukuku, Avrupa Konseyi Yayını, Şen Matbaa, Ankara, 2013</w:t>
      </w:r>
      <w:r w:rsidRPr="00595617">
        <w:rPr>
          <w:rFonts w:ascii="Palatino Linotype" w:hAnsi="Palatino Linotype" w:cstheme="minorHAnsi"/>
          <w:sz w:val="18"/>
          <w:szCs w:val="18"/>
        </w:rPr>
        <w:t>,</w:t>
      </w:r>
      <w:r w:rsidRPr="00595617">
        <w:rPr>
          <w:rFonts w:ascii="Palatino Linotype" w:hAnsi="Palatino Linotype" w:cstheme="minorHAnsi"/>
          <w:color w:val="000000" w:themeColor="text1"/>
          <w:sz w:val="18"/>
          <w:szCs w:val="18"/>
        </w:rPr>
        <w:t xml:space="preserve"> s.230 vd. </w:t>
      </w:r>
    </w:p>
  </w:footnote>
  <w:footnote w:id="17">
    <w:p w14:paraId="421345CB" w14:textId="552C4516" w:rsidR="00936167" w:rsidRPr="00595617" w:rsidRDefault="00936167" w:rsidP="00595617">
      <w:pPr>
        <w:spacing w:after="0" w:line="240" w:lineRule="auto"/>
        <w:ind w:left="567" w:hanging="567"/>
        <w:jc w:val="both"/>
        <w:rPr>
          <w:rFonts w:ascii="Palatino Linotype" w:hAnsi="Palatino Linotype" w:cstheme="minorHAnsi"/>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sz w:val="18"/>
          <w:szCs w:val="18"/>
        </w:rPr>
        <w:t>DOĞRU Mehmet/NALBANT Atilla, İnsan Hakları Avrupa Sözleşmesi, Açıklama ve Önemli Kararlar, Cilt:1, Şen Matbaa, Ankara, 2012, (“</w:t>
      </w:r>
      <w:r w:rsidRPr="00595617">
        <w:rPr>
          <w:rFonts w:ascii="Palatino Linotype" w:hAnsi="Palatino Linotype" w:cstheme="minorHAnsi"/>
          <w:i/>
          <w:sz w:val="18"/>
          <w:szCs w:val="18"/>
        </w:rPr>
        <w:t>Cilt:1</w:t>
      </w:r>
      <w:r w:rsidRPr="00595617">
        <w:rPr>
          <w:rFonts w:ascii="Palatino Linotype" w:hAnsi="Palatino Linotype" w:cstheme="minorHAnsi"/>
          <w:sz w:val="18"/>
          <w:szCs w:val="18"/>
        </w:rPr>
        <w:t>”)</w:t>
      </w:r>
      <w:r w:rsidRPr="00595617">
        <w:rPr>
          <w:rFonts w:ascii="Palatino Linotype" w:hAnsi="Palatino Linotype" w:cstheme="minorHAnsi"/>
          <w:sz w:val="18"/>
          <w:szCs w:val="18"/>
        </w:rPr>
        <w:t xml:space="preserve">, </w:t>
      </w:r>
      <w:r w:rsidRPr="00595617">
        <w:rPr>
          <w:rFonts w:ascii="Palatino Linotype" w:hAnsi="Palatino Linotype" w:cstheme="minorHAnsi"/>
          <w:color w:val="000000" w:themeColor="text1"/>
          <w:sz w:val="18"/>
          <w:szCs w:val="18"/>
        </w:rPr>
        <w:t>s.620; HARRIS/O'BOYLE/BATES/BUCKLEY, s.237 vd.</w:t>
      </w:r>
    </w:p>
  </w:footnote>
  <w:footnote w:id="18">
    <w:p w14:paraId="78695C20"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HARRIS/O'BOYLE/BATES/BUCKLEY, s.237 vd.; İNCEOĞLU, Adil, s.210. </w:t>
      </w:r>
    </w:p>
  </w:footnote>
  <w:footnote w:id="19">
    <w:p w14:paraId="7D004097"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DOĞRU/NALBANT, Cilt:1, s.611; İNCEOĞLU, Adil, s.214.</w:t>
      </w:r>
    </w:p>
  </w:footnote>
  <w:footnote w:id="20">
    <w:p w14:paraId="0DBAE28F" w14:textId="044235C6" w:rsidR="00936167" w:rsidRPr="00595617" w:rsidRDefault="00936167" w:rsidP="00595617">
      <w:pPr>
        <w:spacing w:after="0" w:line="240" w:lineRule="auto"/>
        <w:ind w:left="567" w:hanging="567"/>
        <w:jc w:val="both"/>
        <w:rPr>
          <w:rFonts w:ascii="Palatino Linotype" w:hAnsi="Palatino Linotype" w:cstheme="minorHAnsi"/>
          <w:i/>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Phillips/Birleşik Krallık Kararı, B.No: 41087/98, 12/12/2001, P.31; Engel ve Diğerleri/Hollanda Kararı, B.No: 5100/71, 08/6/1976, P.81-82; Benham/Birleşik Krallık Büyük Daire Kararı, B.No: 19380/92, 10/6/1996, P.56; Bendenoun/Fransa Kararı, B.No: 12547/86, 24/02/1994, P.47; Lutz/Almanya Kararı, P.55; </w:t>
      </w:r>
      <w:r w:rsidRPr="00595617">
        <w:rPr>
          <w:rFonts w:ascii="Palatino Linotype" w:eastAsia="PalatinoLinotype-Italic" w:hAnsi="Palatino Linotype" w:cstheme="minorHAnsi"/>
          <w:iCs/>
          <w:color w:val="000000" w:themeColor="text1"/>
          <w:sz w:val="18"/>
          <w:szCs w:val="18"/>
        </w:rPr>
        <w:t>Pakozdi/Macaristan Kararı</w:t>
      </w:r>
      <w:r w:rsidRPr="00595617">
        <w:rPr>
          <w:rFonts w:ascii="Palatino Linotype" w:eastAsia="PalatinoLinotype-Italic" w:hAnsi="Palatino Linotype" w:cstheme="minorHAnsi"/>
          <w:color w:val="000000" w:themeColor="text1"/>
          <w:sz w:val="18"/>
          <w:szCs w:val="18"/>
        </w:rPr>
        <w:t>, B.No: 51269/07, 25.11.2014, P.20;</w:t>
      </w:r>
      <w:r w:rsidRPr="00595617">
        <w:rPr>
          <w:rFonts w:ascii="Palatino Linotype" w:eastAsia="PalatinoLinotype-Italic" w:hAnsi="Palatino Linotype" w:cstheme="minorHAnsi"/>
          <w:i/>
          <w:iCs/>
          <w:color w:val="000000" w:themeColor="text1"/>
          <w:sz w:val="18"/>
          <w:szCs w:val="18"/>
        </w:rPr>
        <w:t xml:space="preserve"> </w:t>
      </w:r>
      <w:r w:rsidRPr="00595617">
        <w:rPr>
          <w:rFonts w:ascii="Palatino Linotype" w:eastAsia="PalatinoLinotype-Italic" w:hAnsi="Palatino Linotype" w:cstheme="minorHAnsi"/>
          <w:iCs/>
          <w:color w:val="000000" w:themeColor="text1"/>
          <w:sz w:val="18"/>
          <w:szCs w:val="18"/>
        </w:rPr>
        <w:t>Demicoli/Malta</w:t>
      </w:r>
      <w:r w:rsidRPr="00595617">
        <w:rPr>
          <w:rFonts w:ascii="Palatino Linotype" w:eastAsia="PalatinoLinotype-Italic" w:hAnsi="Palatino Linotype" w:cstheme="minorHAnsi"/>
          <w:i/>
          <w:iCs/>
          <w:color w:val="000000" w:themeColor="text1"/>
          <w:sz w:val="18"/>
          <w:szCs w:val="18"/>
        </w:rPr>
        <w:t xml:space="preserve"> </w:t>
      </w:r>
      <w:r w:rsidRPr="00595617">
        <w:rPr>
          <w:rFonts w:ascii="Palatino Linotype" w:eastAsia="PalatinoLinotype-Italic" w:hAnsi="Palatino Linotype" w:cstheme="minorHAnsi"/>
          <w:iCs/>
          <w:color w:val="000000" w:themeColor="text1"/>
          <w:sz w:val="18"/>
          <w:szCs w:val="18"/>
        </w:rPr>
        <w:t>Kararı</w:t>
      </w:r>
      <w:r w:rsidRPr="00595617">
        <w:rPr>
          <w:rFonts w:ascii="Palatino Linotype" w:eastAsia="PalatinoLinotype-Italic" w:hAnsi="Palatino Linotype" w:cstheme="minorHAnsi"/>
          <w:i/>
          <w:iCs/>
          <w:color w:val="000000" w:themeColor="text1"/>
          <w:sz w:val="18"/>
          <w:szCs w:val="18"/>
        </w:rPr>
        <w:t xml:space="preserve"> </w:t>
      </w:r>
      <w:r w:rsidRPr="00595617">
        <w:rPr>
          <w:rFonts w:ascii="Palatino Linotype" w:eastAsia="PalatinoLinotype-Italic" w:hAnsi="Palatino Linotype" w:cstheme="minorHAnsi"/>
          <w:color w:val="000000" w:themeColor="text1"/>
          <w:sz w:val="18"/>
          <w:szCs w:val="18"/>
        </w:rPr>
        <w:t xml:space="preserve">B.No: 13057/87, 27.08.1991, § 33; </w:t>
      </w:r>
      <w:r w:rsidRPr="00595617">
        <w:rPr>
          <w:rFonts w:ascii="Palatino Linotype" w:eastAsia="PalatinoLinotype-Italic" w:hAnsi="Palatino Linotype" w:cstheme="minorHAnsi"/>
          <w:iCs/>
          <w:color w:val="000000" w:themeColor="text1"/>
          <w:sz w:val="18"/>
          <w:szCs w:val="18"/>
        </w:rPr>
        <w:t>Steel ve Diğerleri/Büyük Krallık Kararı, B</w:t>
      </w:r>
      <w:r w:rsidRPr="00595617">
        <w:rPr>
          <w:rFonts w:ascii="Palatino Linotype" w:eastAsia="PalatinoLinotype-Italic" w:hAnsi="Palatino Linotype" w:cstheme="minorHAnsi"/>
          <w:color w:val="000000" w:themeColor="text1"/>
          <w:sz w:val="18"/>
          <w:szCs w:val="18"/>
        </w:rPr>
        <w:t>.No: 24838/94, 23.09.1998, P. 48-49;</w:t>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sz w:val="18"/>
          <w:szCs w:val="18"/>
        </w:rPr>
        <w:t xml:space="preserve">ALTIPARMAK Kerem/AKDENİZ Yaman, </w:t>
      </w:r>
      <w:r w:rsidRPr="00595617">
        <w:rPr>
          <w:rFonts w:ascii="Palatino Linotype" w:hAnsi="Palatino Linotype" w:cstheme="minorHAnsi"/>
          <w:i/>
          <w:sz w:val="18"/>
          <w:szCs w:val="18"/>
        </w:rPr>
        <w:t>"OHAL Komisyonu Karar Vermeye Başlıyor: Ama Nasıl?",</w:t>
      </w:r>
      <w:r w:rsidRPr="00595617">
        <w:rPr>
          <w:rFonts w:ascii="Palatino Linotype" w:hAnsi="Palatino Linotype" w:cstheme="minorHAnsi"/>
          <w:sz w:val="18"/>
          <w:szCs w:val="18"/>
        </w:rPr>
        <w:t xml:space="preserve"> http://privacy.cyber-rights.org.tr/wp-content/uploads/2017/09/OHAL_Komisyonu_Nasil_Karar_Verecek.pdf, s.8, ("</w:t>
      </w:r>
      <w:r w:rsidRPr="00595617">
        <w:rPr>
          <w:rFonts w:ascii="Palatino Linotype" w:hAnsi="Palatino Linotype" w:cstheme="minorHAnsi"/>
          <w:i/>
          <w:sz w:val="18"/>
          <w:szCs w:val="18"/>
        </w:rPr>
        <w:t>Komisyon</w:t>
      </w:r>
      <w:r w:rsidRPr="00595617">
        <w:rPr>
          <w:rFonts w:ascii="Palatino Linotype" w:hAnsi="Palatino Linotype" w:cstheme="minorHAnsi"/>
          <w:sz w:val="18"/>
          <w:szCs w:val="18"/>
        </w:rPr>
        <w:t>")</w:t>
      </w:r>
      <w:r w:rsidRPr="00595617">
        <w:rPr>
          <w:rFonts w:ascii="Palatino Linotype" w:hAnsi="Palatino Linotype" w:cstheme="minorHAnsi"/>
          <w:color w:val="000000" w:themeColor="text1"/>
          <w:sz w:val="18"/>
          <w:szCs w:val="18"/>
        </w:rPr>
        <w:t xml:space="preserve">, s.8; </w:t>
      </w:r>
      <w:r w:rsidRPr="00595617">
        <w:rPr>
          <w:rFonts w:ascii="Palatino Linotype" w:hAnsi="Palatino Linotype" w:cstheme="minorHAnsi"/>
          <w:sz w:val="18"/>
          <w:szCs w:val="18"/>
        </w:rPr>
        <w:t xml:space="preserve">ALTIPARMAK Kerem, </w:t>
      </w:r>
      <w:r w:rsidRPr="00595617">
        <w:rPr>
          <w:rFonts w:ascii="Palatino Linotype" w:hAnsi="Palatino Linotype" w:cstheme="minorHAnsi"/>
          <w:i/>
          <w:sz w:val="18"/>
          <w:szCs w:val="18"/>
        </w:rPr>
        <w:t>"OHAL KHK'leri Sivil Ölüm mü Demek"</w:t>
      </w:r>
      <w:r w:rsidRPr="00595617">
        <w:rPr>
          <w:rFonts w:ascii="Palatino Linotype" w:hAnsi="Palatino Linotype" w:cstheme="minorHAnsi"/>
          <w:sz w:val="18"/>
          <w:szCs w:val="18"/>
        </w:rPr>
        <w:t xml:space="preserve">, https://m.bianet.org/bianet/siyaset/178496-hal-khk-leri-sivil-olum-mu-demek, s.2, </w:t>
      </w:r>
      <w:r w:rsidRPr="00595617">
        <w:rPr>
          <w:rFonts w:ascii="Palatino Linotype" w:hAnsi="Palatino Linotype" w:cstheme="minorHAnsi"/>
          <w:i/>
          <w:sz w:val="18"/>
          <w:szCs w:val="18"/>
        </w:rPr>
        <w:t>("Sivil").</w:t>
      </w:r>
      <w:r w:rsidRPr="00595617">
        <w:rPr>
          <w:rFonts w:ascii="Palatino Linotype" w:hAnsi="Palatino Linotype" w:cstheme="minorHAnsi"/>
          <w:color w:val="000000" w:themeColor="text1"/>
          <w:sz w:val="18"/>
          <w:szCs w:val="18"/>
        </w:rPr>
        <w:t>; DOĞRU/NALBANT, Cilt:1, s.617.</w:t>
      </w:r>
    </w:p>
  </w:footnote>
  <w:footnote w:id="21">
    <w:p w14:paraId="55924B9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Hüseyin Turan/Türkiye Kararı, B.No: 11529/02, 04/3/2008; Yakın tarihli bir kararında; </w:t>
      </w:r>
      <w:r w:rsidRPr="00595617">
        <w:rPr>
          <w:rFonts w:ascii="Palatino Linotype" w:hAnsi="Palatino Linotype" w:cstheme="minorHAnsi"/>
          <w:i/>
          <w:color w:val="000000" w:themeColor="text1"/>
          <w:sz w:val="18"/>
          <w:szCs w:val="18"/>
        </w:rPr>
        <w:t>“eylemin hapisle cezalandırılmaması ve yaptırımın görece olarak hafifliği bir suçun özü itibariyle cezai niteliğini ortadan kaldırmadığından, 6. maddenin cezai kısmının uygulanmasına engel değildir”</w:t>
      </w:r>
      <w:r w:rsidRPr="00595617">
        <w:rPr>
          <w:rFonts w:ascii="Palatino Linotype" w:hAnsi="Palatino Linotype" w:cstheme="minorHAnsi"/>
          <w:color w:val="000000" w:themeColor="text1"/>
          <w:sz w:val="18"/>
          <w:szCs w:val="18"/>
        </w:rPr>
        <w:t xml:space="preserve"> demiştir. AİHM’in </w:t>
      </w:r>
      <w:r w:rsidRPr="00595617">
        <w:rPr>
          <w:rFonts w:ascii="Palatino Linotype" w:hAnsi="Palatino Linotype" w:cstheme="minorHAnsi"/>
          <w:bCs/>
          <w:color w:val="000000" w:themeColor="text1"/>
          <w:sz w:val="18"/>
          <w:szCs w:val="18"/>
        </w:rPr>
        <w:t>Ramos Nunes de Carvalho e Sa</w:t>
      </w:r>
      <w:r w:rsidRPr="00595617">
        <w:rPr>
          <w:rFonts w:ascii="Palatino Linotype" w:hAnsi="Palatino Linotype" w:cstheme="minorHAnsi"/>
          <w:color w:val="000000" w:themeColor="text1"/>
          <w:sz w:val="18"/>
          <w:szCs w:val="18"/>
        </w:rPr>
        <w:t>/Portekiz Büyük Daire Kararı, B.No. 55391/13, 57728/13 ve 74041/13, 06/11/2018, P.122; Başka bir kararında da, miktarı düşükte olsa verilen para cezasının amacının caydırıcılık ve cezalandırma olduğunu ve bu durumun dava konusu cezanın cezai yönünü ortaya çıkardığını belirtmiştir. AİHM’in Öztürk/Almanya Kararı, B.No: 8544/79, 21.02.1984, P.53.</w:t>
      </w:r>
    </w:p>
  </w:footnote>
  <w:footnote w:id="22">
    <w:p w14:paraId="686B7A55"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Engel ve Diğerleri/Hollanda Kararı, P.81-82; DOĞRU/NALBANT, Cilt:1, s.617; Verdiği bir kararında, cezaevi tüzüğüne uygun olarak cezaevi disiplin kurulunca başvurucuya verilen 570 gün infaz indirimi kaybına ilişkin yaptırımı, başvurucunun aldığı hapis cezasının artmasına neden olmasa da ağır sonuçlar doğurması nedeniyle cezai nitelikte kabul etmiştir. Mahkemeye göre, Sözleşme'nin amacı dikkate alındığında bu ağırlıkta bir suçlama ve yaptırıma ancak 6. maddede öngörülen güvencelerin tanınması halinde hükmedilebilir ve disiplin kurulu tarafından bu güvencelerin sunulmaması 6. maddenin ihlaline neden olmuştur. AİHM'in Campbell ve Feel/Birleşik Krallık Kararı, B.No: 781/77, 28/6/1984, P.72-73.</w:t>
      </w:r>
    </w:p>
  </w:footnote>
  <w:footnote w:id="23">
    <w:p w14:paraId="7E4106D6" w14:textId="3CF462BC"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Matyjek/Polonya Kararı, B.No: 38184/03, 30/5/2006, P.49-58; Bobek/Polonya Kararı, B.No: 68761/01, 24/10/2006 P.54; Luboch/Polonya Kararı, B.No: 37469/05, 15/01/2008; ALTIPARMAK/AKDENİZ, Komisyon, s.8; </w:t>
      </w:r>
      <w:r w:rsidR="00874B7E" w:rsidRPr="00595617">
        <w:rPr>
          <w:rFonts w:ascii="Palatino Linotype" w:hAnsi="Palatino Linotype" w:cstheme="minorHAnsi"/>
          <w:sz w:val="18"/>
          <w:szCs w:val="18"/>
        </w:rPr>
        <w:t xml:space="preserve">ALTIPARMAK Kerem, </w:t>
      </w:r>
      <w:r w:rsidR="00874B7E" w:rsidRPr="00595617">
        <w:rPr>
          <w:rFonts w:ascii="Palatino Linotype" w:hAnsi="Palatino Linotype" w:cstheme="minorHAnsi"/>
          <w:i/>
          <w:sz w:val="18"/>
          <w:szCs w:val="18"/>
        </w:rPr>
        <w:t>"OHAL KHK'leri Sivil Ölüm mü Demek"</w:t>
      </w:r>
      <w:r w:rsidR="00874B7E" w:rsidRPr="00595617">
        <w:rPr>
          <w:rFonts w:ascii="Palatino Linotype" w:hAnsi="Palatino Linotype" w:cstheme="minorHAnsi"/>
          <w:sz w:val="18"/>
          <w:szCs w:val="18"/>
        </w:rPr>
        <w:t xml:space="preserve">, https://m.bianet.org/bianet/siyaset/178496-hal-khk-leri-sivil-olum-mu-demek, s.2, </w:t>
      </w:r>
      <w:r w:rsidR="00874B7E" w:rsidRPr="00595617">
        <w:rPr>
          <w:rFonts w:ascii="Palatino Linotype" w:hAnsi="Palatino Linotype" w:cstheme="minorHAnsi"/>
          <w:i/>
          <w:sz w:val="18"/>
          <w:szCs w:val="18"/>
        </w:rPr>
        <w:t>("Sivil")</w:t>
      </w:r>
      <w:r w:rsidRPr="00595617">
        <w:rPr>
          <w:rFonts w:ascii="Palatino Linotype" w:hAnsi="Palatino Linotype" w:cstheme="minorHAnsi"/>
          <w:color w:val="000000" w:themeColor="text1"/>
          <w:sz w:val="18"/>
          <w:szCs w:val="18"/>
        </w:rPr>
        <w:t>, s.5.</w:t>
      </w:r>
    </w:p>
  </w:footnote>
  <w:footnote w:id="24">
    <w:p w14:paraId="1FB03887"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Ankara 6. Sulh Ceza Hâkimliği tarafından 35 yargı mensubu hakkında verilen tutukluluğun devamı kararının gerekçesinde; </w:t>
      </w:r>
      <w:r w:rsidRPr="00595617">
        <w:rPr>
          <w:rFonts w:ascii="Palatino Linotype" w:hAnsi="Palatino Linotype" w:cstheme="minorHAnsi"/>
          <w:i/>
          <w:color w:val="000000" w:themeColor="text1"/>
          <w:sz w:val="18"/>
          <w:szCs w:val="18"/>
        </w:rPr>
        <w:t>"…üzerlerine atılı bulunan suçları işlediklerine dair kuvvetli suç şüphesinin varlığını gösteren Hakimler ve Savcılar Yüksek Kurulu tarafından haklarında alınan karar içerikleri"</w:t>
      </w:r>
      <w:r w:rsidRPr="00595617">
        <w:rPr>
          <w:rFonts w:ascii="Palatino Linotype" w:hAnsi="Palatino Linotype" w:cstheme="minorHAnsi"/>
          <w:color w:val="000000" w:themeColor="text1"/>
          <w:sz w:val="18"/>
          <w:szCs w:val="18"/>
        </w:rPr>
        <w:t xml:space="preserve"> ifadesine yer verilmiş ve şüphelilerin üzerlerine atılı suçları işledikleriyle ilgili dosya kapsamında elde edilen deliller yerine HSYK kararına atıf yapılmıştır. Yani, HSYK kararında yer verilen hususlar dosyada elde edilen delillerden daha ehemmiyetli görülmüş ve tutukluluğun devamının en önemli gerekçesi olmuştur. Ankara 6. Sulh Ceza Hakimliğinin 06/01/2017 T., ve 2017/236 D. iş sayılı kararı.</w:t>
      </w:r>
    </w:p>
  </w:footnote>
  <w:footnote w:id="25">
    <w:p w14:paraId="4675656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Ankara C.Başsavcılığı tarafından hazırlanan iddianamede, HSYK'nın ihraç kararı iddianamenin delilleri arasında sayılmış ve şüpheli yargı mensubunun cezalandırılması talebinin gerekçesinde; </w:t>
      </w:r>
      <w:r w:rsidRPr="00595617">
        <w:rPr>
          <w:rFonts w:ascii="Palatino Linotype" w:hAnsi="Palatino Linotype" w:cstheme="minorHAnsi"/>
          <w:i/>
          <w:color w:val="000000" w:themeColor="text1"/>
          <w:sz w:val="18"/>
          <w:szCs w:val="18"/>
        </w:rPr>
        <w:t>"FETÖ/PDY ile irtibatlı olduğu gerekçesiyle HSYK tarafından verilen meslekten çıkarma kararı ve tüm dosya kapsamında elde edilen deliller bir bütün olarak değerlendirildiğinde, Sivas savcısı olarak görev yaparken örgüt üyesi olduğu gerekçesiyle meslekten çıkarılmasına karar verilen şüphelinin"</w:t>
      </w:r>
      <w:r w:rsidRPr="00595617">
        <w:rPr>
          <w:rFonts w:ascii="Palatino Linotype" w:hAnsi="Palatino Linotype" w:cstheme="minorHAnsi"/>
          <w:color w:val="000000" w:themeColor="text1"/>
          <w:sz w:val="18"/>
          <w:szCs w:val="18"/>
        </w:rPr>
        <w:t xml:space="preserve"> ifadesine yer verilmiştir. İlgilinin </w:t>
      </w:r>
      <w:r w:rsidRPr="00595617">
        <w:rPr>
          <w:rFonts w:ascii="Palatino Linotype" w:hAnsi="Palatino Linotype" w:cstheme="minorHAnsi"/>
          <w:i/>
          <w:color w:val="000000" w:themeColor="text1"/>
          <w:sz w:val="18"/>
          <w:szCs w:val="18"/>
        </w:rPr>
        <w:t>"örgüt üyesi"</w:t>
      </w:r>
      <w:r w:rsidRPr="00595617">
        <w:rPr>
          <w:rFonts w:ascii="Palatino Linotype" w:hAnsi="Palatino Linotype" w:cstheme="minorHAnsi"/>
          <w:color w:val="000000" w:themeColor="text1"/>
          <w:sz w:val="18"/>
          <w:szCs w:val="18"/>
        </w:rPr>
        <w:t xml:space="preserve"> olduğu gerekçesiyle meslekten çıkarıldığı belirtilerek, HSYK kararıyla cezai bir isnatta bulunulduğu ortaya konulmuş ve bu karar iddianamenin en önemli delili kabul edilmiştir. Ankara Cumhuriyet Başsavcılığının 12/02/2018 T., 2018/8938 E. ve 2018/2824 numaralı iddianamesi.</w:t>
      </w:r>
    </w:p>
  </w:footnote>
  <w:footnote w:id="26">
    <w:p w14:paraId="20BF78B5"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Ankara 28. Ağır Ceza Mahkemesi, bir yargı mensubu hakkında verdiği mahkumiyet kararının </w:t>
      </w:r>
      <w:r w:rsidRPr="00595617">
        <w:rPr>
          <w:rFonts w:ascii="Palatino Linotype" w:hAnsi="Palatino Linotype" w:cstheme="minorHAnsi"/>
          <w:i/>
          <w:color w:val="000000" w:themeColor="text1"/>
          <w:sz w:val="18"/>
          <w:szCs w:val="18"/>
        </w:rPr>
        <w:t>"Deliller"</w:t>
      </w:r>
      <w:r w:rsidRPr="00595617">
        <w:rPr>
          <w:rFonts w:ascii="Palatino Linotype" w:hAnsi="Palatino Linotype" w:cstheme="minorHAnsi"/>
          <w:color w:val="000000" w:themeColor="text1"/>
          <w:sz w:val="18"/>
          <w:szCs w:val="18"/>
        </w:rPr>
        <w:t xml:space="preserve"> ve </w:t>
      </w:r>
      <w:r w:rsidRPr="00595617">
        <w:rPr>
          <w:rFonts w:ascii="Palatino Linotype" w:hAnsi="Palatino Linotype" w:cstheme="minorHAnsi"/>
          <w:i/>
          <w:color w:val="000000" w:themeColor="text1"/>
          <w:sz w:val="18"/>
          <w:szCs w:val="18"/>
        </w:rPr>
        <w:t>"Değerlendirme ve Gerekçe"</w:t>
      </w:r>
      <w:r w:rsidRPr="00595617">
        <w:rPr>
          <w:rFonts w:ascii="Palatino Linotype" w:hAnsi="Palatino Linotype" w:cstheme="minorHAnsi"/>
          <w:color w:val="000000" w:themeColor="text1"/>
          <w:sz w:val="18"/>
          <w:szCs w:val="18"/>
        </w:rPr>
        <w:t xml:space="preserve"> bölümlerinde; "</w:t>
      </w:r>
      <w:r w:rsidRPr="00595617">
        <w:rPr>
          <w:rFonts w:ascii="Palatino Linotype" w:hAnsi="Palatino Linotype" w:cstheme="minorHAnsi"/>
          <w:i/>
          <w:color w:val="000000" w:themeColor="text1"/>
          <w:sz w:val="18"/>
          <w:szCs w:val="18"/>
        </w:rPr>
        <w:t>HSYK'nın 24/08/2016 tarih ve 2016/426 sayılı ihraç kararı, HSK tarafından mahkememize gönderilen bilgi ve belgeler"</w:t>
      </w:r>
      <w:r w:rsidRPr="00595617">
        <w:rPr>
          <w:rFonts w:ascii="Palatino Linotype" w:hAnsi="Palatino Linotype" w:cstheme="minorHAnsi"/>
          <w:color w:val="000000" w:themeColor="text1"/>
          <w:sz w:val="18"/>
          <w:szCs w:val="18"/>
        </w:rPr>
        <w:t xml:space="preserve"> ifadesine yer verilmek suretiyle, meslekten çıkarma kararı verilen hapis cezasına gerekçe yapılmıştır. Ankara 28. Ağır Ceza Mahkemesinin 13/8/2018 T., 2017/93 E., 2018/196 K. sayılı kararı.</w:t>
      </w:r>
    </w:p>
  </w:footnote>
  <w:footnote w:id="27">
    <w:p w14:paraId="6C868740" w14:textId="03F0D7FA"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"Venedik Komisyonu 2016-2017 Türkiye Raporları"</w:t>
      </w:r>
      <w:r w:rsidRPr="00595617">
        <w:rPr>
          <w:rFonts w:ascii="Palatino Linotype" w:hAnsi="Palatino Linotype" w:cstheme="minorHAnsi"/>
          <w:color w:val="000000" w:themeColor="text1"/>
          <w:sz w:val="18"/>
          <w:szCs w:val="18"/>
        </w:rPr>
        <w:t>, Ankara Barosu Dergisi, Sayı: 2017/3, Ankara, 2017, s.421, (</w:t>
      </w:r>
      <w:r w:rsidRPr="00595617">
        <w:rPr>
          <w:rFonts w:ascii="Palatino Linotype" w:hAnsi="Palatino Linotype" w:cstheme="minorHAnsi"/>
          <w:i/>
          <w:color w:val="000000" w:themeColor="text1"/>
          <w:sz w:val="18"/>
          <w:szCs w:val="18"/>
        </w:rPr>
        <w:t>"Venedik"</w:t>
      </w:r>
      <w:r w:rsidRPr="00595617">
        <w:rPr>
          <w:rFonts w:ascii="Palatino Linotype" w:hAnsi="Palatino Linotype" w:cstheme="minorHAnsi"/>
          <w:i/>
          <w:color w:val="000000" w:themeColor="text1"/>
          <w:sz w:val="18"/>
          <w:szCs w:val="18"/>
        </w:rPr>
        <w:t>)</w:t>
      </w:r>
      <w:r w:rsidRPr="00595617">
        <w:rPr>
          <w:rFonts w:ascii="Palatino Linotype" w:hAnsi="Palatino Linotype" w:cstheme="minorHAnsi"/>
          <w:color w:val="000000" w:themeColor="text1"/>
          <w:sz w:val="18"/>
          <w:szCs w:val="18"/>
        </w:rPr>
        <w:t>, s.472.</w:t>
      </w:r>
    </w:p>
  </w:footnote>
  <w:footnote w:id="28">
    <w:p w14:paraId="7FFF97B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König/Almanya Kararı, B.No: 51963/99, 23/5/2007, P.89; 6. Madde Rehberi, Adil Yargılanma Hakkı (Medeni Hukuk Yönü), Avrupa Konseyi / Avrupa İnsan Hakları Mahkemesi Yayınları, 2013, s.4 vd., </w:t>
      </w:r>
      <w:r w:rsidRPr="00595617">
        <w:rPr>
          <w:rFonts w:ascii="Palatino Linotype" w:hAnsi="Palatino Linotype" w:cstheme="minorHAnsi"/>
          <w:i/>
          <w:color w:val="000000" w:themeColor="text1"/>
          <w:sz w:val="18"/>
          <w:szCs w:val="18"/>
        </w:rPr>
        <w:t>("Medeni"</w:t>
      </w:r>
      <w:r w:rsidRPr="00595617">
        <w:rPr>
          <w:rFonts w:ascii="Palatino Linotype" w:hAnsi="Palatino Linotype" w:cstheme="minorHAnsi"/>
          <w:color w:val="000000" w:themeColor="text1"/>
          <w:sz w:val="18"/>
          <w:szCs w:val="18"/>
        </w:rPr>
        <w:t>).</w:t>
      </w:r>
    </w:p>
  </w:footnote>
  <w:footnote w:id="29">
    <w:p w14:paraId="0B6D004F"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Airey/İrlanda Kararı, B.No: 6289/73, 09/10/1979, P.21; Ivanovski/Makedonya Kararı, B.No: 29908/11, 21/01/2016, P.117 vd.; Rainys ve Gasparavicius/Litvanya Kararı, B.No: 74345/01, 22/01/2004; AİHM'in Olujic/Hırvatistan Kararı, B.No: 22330/05, 05/02/2009, P.36-43; ALTIPARMAK, Sivil, s.5; HARRIS/O'BOYLE/BATES/ BUCKLEY, s.227. </w:t>
      </w:r>
    </w:p>
  </w:footnote>
  <w:footnote w:id="30">
    <w:p w14:paraId="6FB197A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Cudak/Litvanya Kararı, B.No: 15869/02, 23/3/2010.</w:t>
      </w:r>
    </w:p>
  </w:footnote>
  <w:footnote w:id="31">
    <w:p w14:paraId="0B141AB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w:t>
      </w:r>
      <w:r w:rsidRPr="00595617">
        <w:rPr>
          <w:rFonts w:ascii="Palatino Linotype" w:hAnsi="Palatino Linotype" w:cstheme="minorHAnsi"/>
          <w:bCs/>
          <w:color w:val="000000" w:themeColor="text1"/>
          <w:sz w:val="18"/>
          <w:szCs w:val="18"/>
        </w:rPr>
        <w:t>Ramos Nunes de Carvalho e Sa</w:t>
      </w:r>
      <w:r w:rsidRPr="00595617">
        <w:rPr>
          <w:rFonts w:ascii="Palatino Linotype" w:hAnsi="Palatino Linotype" w:cstheme="minorHAnsi"/>
          <w:color w:val="000000" w:themeColor="text1"/>
          <w:sz w:val="18"/>
          <w:szCs w:val="18"/>
        </w:rPr>
        <w:t>/Portekiz Büyük Daire Kararı; Olujic/Hırvatistan Kararı, B.No: 22330/05, 05/02/2009.</w:t>
      </w:r>
    </w:p>
  </w:footnote>
  <w:footnote w:id="32">
    <w:p w14:paraId="1D52B7A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Zalli/Arnavutluk Kararı, B.No: 52531/07, 08/02/2011.</w:t>
      </w:r>
    </w:p>
  </w:footnote>
  <w:footnote w:id="33">
    <w:p w14:paraId="095D3AB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Fiume/İtalya Kararı, B.No: 20774/05, 06/11/2009.</w:t>
      </w:r>
    </w:p>
  </w:footnote>
  <w:footnote w:id="34">
    <w:p w14:paraId="58A27AA3"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Vilho Eskelinen ve Diğerleri/Finlandiya Büyük Daire Kararı, B.No: 63235/00, 19/4/2007, P.62.</w:t>
      </w:r>
    </w:p>
  </w:footnote>
  <w:footnote w:id="35">
    <w:p w14:paraId="6C47983A"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AİHM'in Pellegrin/Fransa Büyük Daire Kararı, B.No: 28541/95, 08/12/1999, P.64-71; VITKAUSKAS Dovydas/DIKOV Grigoriy, Avrupa İnsan Hakları Sözleşmesi Kapsamında Adil Yargılanma Hakkının Korunması, Uygulamacılar İçin El Kitabı, (Türkçeye çeviren: Av. Serkan Cengiz), Anayasa Mahkemesine Bireysel Başvuru Sisteminin Desteklenmesi Ortak Projesi Yayını, Ankara, 2018, s.22; HARRIS/O'BOYLE/ BATES/BUCKLEY, s.231.  </w:t>
      </w:r>
    </w:p>
  </w:footnote>
  <w:footnote w:id="36">
    <w:p w14:paraId="11A7E12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Olujic/Hırvatistan Kararı, P.31-43.</w:t>
      </w:r>
    </w:p>
  </w:footnote>
  <w:footnote w:id="37">
    <w:p w14:paraId="7076822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Suküt/Türkiye Kararı, B.No: 59773/00, 11/9/2007; Vilho Eskelinen ve Diğerleri/Finlandiya Büyük Daire Kararı, P.62.</w:t>
      </w:r>
    </w:p>
  </w:footnote>
  <w:footnote w:id="38">
    <w:p w14:paraId="0D6B9684" w14:textId="535DA84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Vilho Eskelinen ve Diğerleri/Finlandiya Büyük Daire Kararı, P.62; ÇİFTÇİOĞLU Cengiz Topel, </w:t>
      </w:r>
      <w:r w:rsidRPr="00595617">
        <w:rPr>
          <w:rFonts w:ascii="Palatino Linotype" w:hAnsi="Palatino Linotype" w:cstheme="minorHAnsi"/>
          <w:i/>
          <w:color w:val="000000" w:themeColor="text1"/>
          <w:sz w:val="18"/>
          <w:szCs w:val="18"/>
        </w:rPr>
        <w:t>"2802 Sayılı Hâkimler Ve Savcılar Kanununa Göre Hâkim ve Savcıların Disiplin Soruşturmaları"</w:t>
      </w:r>
      <w:r w:rsidRPr="00595617">
        <w:rPr>
          <w:rFonts w:ascii="Palatino Linotype" w:hAnsi="Palatino Linotype" w:cstheme="minorHAnsi"/>
          <w:color w:val="000000" w:themeColor="text1"/>
          <w:sz w:val="18"/>
          <w:szCs w:val="18"/>
        </w:rPr>
        <w:t xml:space="preserve">, Dokuz Eylül Üniversitesi Hukuk Fakültesi Dergisi Cilt:13, Sayı:1, İzmir, 2012, s.149; </w:t>
      </w:r>
      <w:r w:rsidR="00874B7E" w:rsidRPr="00595617">
        <w:rPr>
          <w:rFonts w:ascii="Palatino Linotype" w:hAnsi="Palatino Linotype" w:cstheme="minorHAnsi"/>
          <w:color w:val="000000" w:themeColor="text1"/>
          <w:sz w:val="18"/>
          <w:szCs w:val="18"/>
        </w:rPr>
        <w:t>VITKAUSKAS Dovydas/DIKOV Grigoriy, Avrupa İnsan Hakları Sözleşmesi Kapsamında Adil Yargılanma Hakkının Korunması, Uygulamacılar İçin El Kitabı, (Türkçeye çeviren: Av. Serkan Cengiz), Anayasa Mahkemesine Bireysel Başvuru Sisteminin Desteklenmesi Ortak Projesi Yayını, Ankara, 2018</w:t>
      </w:r>
      <w:r w:rsidRPr="00595617">
        <w:rPr>
          <w:rFonts w:ascii="Palatino Linotype" w:hAnsi="Palatino Linotype" w:cstheme="minorHAnsi"/>
          <w:color w:val="000000" w:themeColor="text1"/>
          <w:sz w:val="18"/>
          <w:szCs w:val="18"/>
        </w:rPr>
        <w:t>, s.22.</w:t>
      </w:r>
    </w:p>
  </w:footnote>
  <w:footnote w:id="39">
    <w:p w14:paraId="737A0E1B"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Baka/Macaristan Kararı, P.116.</w:t>
      </w:r>
    </w:p>
  </w:footnote>
  <w:footnote w:id="40">
    <w:p w14:paraId="2C7C1EF1" w14:textId="77777777" w:rsidR="00936167" w:rsidRPr="00595617" w:rsidRDefault="00936167" w:rsidP="00595617">
      <w:pPr>
        <w:spacing w:after="0" w:line="240" w:lineRule="auto"/>
        <w:ind w:left="567" w:hanging="567"/>
        <w:jc w:val="both"/>
        <w:rPr>
          <w:rFonts w:ascii="Palatino Linotype" w:hAnsi="Palatino Linotype" w:cstheme="minorHAnsi"/>
          <w:iCs/>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Denisov/Ukrayna Kararı, B.No: 76639/11, 25/9/2018, P.54 vd.; Kararın devamında;</w:t>
      </w:r>
      <w:r w:rsidRPr="00595617">
        <w:rPr>
          <w:rFonts w:ascii="Palatino Linotype" w:hAnsi="Palatino Linotype" w:cstheme="minorHAnsi"/>
          <w:i/>
          <w:color w:val="000000" w:themeColor="text1"/>
          <w:sz w:val="18"/>
          <w:szCs w:val="18"/>
        </w:rPr>
        <w:t xml:space="preserve"> </w:t>
      </w:r>
      <w:r w:rsidRPr="00595617">
        <w:rPr>
          <w:rFonts w:ascii="Palatino Linotype" w:hAnsi="Palatino Linotype" w:cstheme="minorHAnsi"/>
          <w:color w:val="000000" w:themeColor="text1"/>
          <w:sz w:val="18"/>
          <w:szCs w:val="18"/>
        </w:rPr>
        <w:t>Vilho Eskelinen kararındaki diğer test de uygulandığında uyuşmazlığa ilişkin olarak ulusal Üst İdare Mahkemesine (ÜİM) dava açılabilmesine izin verildiğini ve başvurucuya adil yargılanma hakkının tanıdığı güvencelerin sağlanması gerektiğini (P.55), medeni hak ve yükümlülüklere dair karar veren belirleyici makamın (HYK) 6. maddenin gereklerine uygun davranmasa bile, bu makam önündeki işlemlerin yargısal makam (ÜİM) tarafından gözden geçirilmesi halinde m. 6/1’in yine de ihlal edilmediği sonucuna varabileceğini (P.64),</w:t>
      </w:r>
      <w:r w:rsidRPr="00595617">
        <w:rPr>
          <w:rFonts w:ascii="Palatino Linotype" w:hAnsi="Palatino Linotype" w:cstheme="minorHAnsi"/>
          <w:iCs/>
          <w:color w:val="000000" w:themeColor="text1"/>
          <w:sz w:val="18"/>
          <w:szCs w:val="18"/>
        </w:rPr>
        <w:t xml:space="preserve"> HYK'nın üyelerinin çoğunluğunun yürütme veya yasama organınca atanan meslek dışı kişilerden oluştuğunu, Adalet Bakanı ile ülke Başsavcısının kurulun doğal üyesi olduğunu, yirmi üyenin sadece dördünün tam zamanlı görev yaptığını ve diğer üyelerin kurul dışında çalışmayı ve ücret almayı sürdürdüğünü (P.69),</w:t>
      </w:r>
      <w:r w:rsidRPr="00595617">
        <w:rPr>
          <w:rFonts w:ascii="Palatino Linotype" w:hAnsi="Palatino Linotype" w:cstheme="minorHAnsi"/>
          <w:color w:val="000000" w:themeColor="text1"/>
          <w:sz w:val="18"/>
          <w:szCs w:val="18"/>
        </w:rPr>
        <w:t xml:space="preserve"> yargısal gözden geçirmeyi gerçekleştiren ÜİM’nin hâkimlerinin de HYK’nın disiplin yetkisi altında olduğunu ve onların da HYK önünde disiplin incelemesine maruz kalabileceğini, sadece bu durumun onların bağımsızlık ve tarafsızlık şartını karşılamadığını söylemek için yeterli olmadığını, ancak disiplin kurulunun yapısı ve işleyişinin bu konuda ciddi kuşku doğurması halinde bu hususta bir şüphe oluşabileceğini ve mevcut başvuruda gerçekten bu tür bir durumun ortaya çıktığını, yapısal eksiklikler ve kişisel önyargı görüntüsü açısından HYK'nın sadece bir disiplin kurulu olmadığını, hâkimlerin atanması, cezalandırılması ve ihracı gibi mesleki kariyeri üzerinde geniş yetkilere sahip olduğunu, Ukrayna sisteminin kendine özgü şartları </w:t>
      </w:r>
      <w:r w:rsidRPr="00595617">
        <w:rPr>
          <w:rFonts w:ascii="Palatino Linotype" w:hAnsi="Palatino Linotype" w:cstheme="minorHAnsi"/>
          <w:iCs/>
          <w:color w:val="000000" w:themeColor="text1"/>
          <w:sz w:val="18"/>
          <w:szCs w:val="18"/>
        </w:rPr>
        <w:t xml:space="preserve"> dikkate aldığında HYK'nın bağımsız ve tarafsız bir inceleme yapmaktan uzak olduğunu, ÜİM tarafından sonraki incelemenin bu hataları gideremediğini ve ÜİM hakimlerinin 6. maddenin gerektirdiği bağımsızlık ve tarafsızlık şartını karşılayamadığını belirterek AİHS'in 6. maddesinin ihlaline karar vermiştir (P.81).</w:t>
      </w:r>
    </w:p>
  </w:footnote>
  <w:footnote w:id="41">
    <w:p w14:paraId="30BBC437"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 üç farklı disiplin cezasıyla cezalandırılıp, verilen cezaların birleştirilmesi sonucu 240 gün açığa alınan bir hâkimin başvurusunda, bizdeki HSK’ya karşılık gelen Yargı Yüksek Kurulu (YYK) önündeki disiplin sürecinin yazılı cereyan ettiğini, oturumlarının ilgililere ve topluma kapalı gerçekleştiğini, başvurucunun üç farklı disiplin sürecindeki oturumların hiçbirine katılamadığını, soruşturmaya konu olaylar, cezalar ve diğer yasal hususlarla ilgili sözlü beyanının dahi alınmadığını ve tanıklarının da dinlenmediğini belirterek, YYK’nin disiplin yetkisini yeterli olgusal temelleri görmeksizin kullandığını dile getirmiş, ayrıca, verilen disiplin cezasından sonra Yargıtay İdari Dava Bölümü önündeki yargılama sürecinde de başvurucunun duruşma imkânından yararlandırılmadığını vurgulayarak cezaların ağırlığını, YYK önündeki süreçteki usulü teminatların sınırlı niteliğini, başvuranın ve tanıkların güvenilirliğine dair ve davanın sonucuna etkili olgusal delillerin değerlendirilmesi gerektiğini, Yargıtay İdari Dava Bölümünün incelemesinin yetersizliğini ve ne disiplin ne de yargısal inceleme sürecinde duruşma açılmamasını Sözleşme’nin 6/1. maddesinin gereklerine aykırı bulmuş ve ihlaline karar vermiştir. AİHM’in </w:t>
      </w:r>
      <w:r w:rsidRPr="00595617">
        <w:rPr>
          <w:rFonts w:ascii="Palatino Linotype" w:hAnsi="Palatino Linotype" w:cstheme="minorHAnsi"/>
          <w:bCs/>
          <w:color w:val="000000" w:themeColor="text1"/>
          <w:sz w:val="18"/>
          <w:szCs w:val="18"/>
        </w:rPr>
        <w:t>Ramos Nunes de Carvalho e Sa</w:t>
      </w:r>
      <w:r w:rsidRPr="00595617">
        <w:rPr>
          <w:rFonts w:ascii="Palatino Linotype" w:hAnsi="Palatino Linotype" w:cstheme="minorHAnsi"/>
          <w:color w:val="000000" w:themeColor="text1"/>
          <w:sz w:val="18"/>
          <w:szCs w:val="18"/>
        </w:rPr>
        <w:t>/Portekiz  Büyük Daire Kararı, P.119-120.</w:t>
      </w:r>
    </w:p>
  </w:footnote>
  <w:footnote w:id="42">
    <w:p w14:paraId="2E634274"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AİHM’in Baka/Macaristan Büyük Daire Kararı, P.112-118.</w:t>
      </w:r>
    </w:p>
  </w:footnote>
  <w:footnote w:id="43">
    <w:p w14:paraId="30F93921"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Sodan/Türkiye Kararı, B.No: 18650/05, 02/02/2016, P.61 vd.</w:t>
      </w:r>
    </w:p>
  </w:footnote>
  <w:footnote w:id="44">
    <w:p w14:paraId="64116A6C"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18/12/2010 tarihli ve 27789 sayılı Resmi Gazete.</w:t>
      </w:r>
    </w:p>
  </w:footnote>
  <w:footnote w:id="45">
    <w:p w14:paraId="0B2C9D5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ÇİFTÇİOĞLU, s.149.</w:t>
      </w:r>
    </w:p>
  </w:footnote>
  <w:footnote w:id="46">
    <w:p w14:paraId="499D8A05"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AİHM'in Golder/İngiltere Kararı, B.No: 4451/70, 21/02/1975, P.35; İNCEOĞLU, Adil, s.215; DOĞRU/NALBANT, Cilt:1, s.620; EKİNCİ Ahmet, </w:t>
      </w:r>
      <w:r w:rsidRPr="00595617">
        <w:rPr>
          <w:rFonts w:ascii="Palatino Linotype" w:hAnsi="Palatino Linotype" w:cstheme="minorHAnsi"/>
          <w:i/>
          <w:color w:val="000000" w:themeColor="text1"/>
          <w:sz w:val="18"/>
          <w:szCs w:val="18"/>
        </w:rPr>
        <w:t>"Anayasa Mahkemesi'nin Bireysel Başvuru Kararlarında Mahkemeye Erişim Hakkı"</w:t>
      </w:r>
      <w:r w:rsidRPr="00595617">
        <w:rPr>
          <w:rFonts w:ascii="Palatino Linotype" w:hAnsi="Palatino Linotype" w:cstheme="minorHAnsi"/>
          <w:color w:val="000000" w:themeColor="text1"/>
          <w:sz w:val="18"/>
          <w:szCs w:val="18"/>
        </w:rPr>
        <w:t>, Gazi Üniversitesi Hukuk Fakültesi Dergisi, 2014, Sayı.3-4, s.820; HARRIS/O'BOYLE/BATES/BUCKLEY, s.237.</w:t>
      </w:r>
    </w:p>
  </w:footnote>
  <w:footnote w:id="47">
    <w:p w14:paraId="3BC4B31D"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İNCEOĞLU, Adil, s.220. </w:t>
      </w:r>
    </w:p>
  </w:footnote>
  <w:footnote w:id="48">
    <w:p w14:paraId="04183C73"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Geouffre de la Pradella/Fransa Kararı, B.No: 12964/87, 16/12/1992, P.34-35.</w:t>
      </w:r>
    </w:p>
  </w:footnote>
  <w:footnote w:id="49">
    <w:p w14:paraId="30D3C43F"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DOĞRU/NALBANT, Cilt:1, s.620-621; HARRIS/O'BOYLE/BATES/BUCKLEY, s.301-302; İNCEOĞLU, Adil, s.215.</w:t>
      </w:r>
    </w:p>
  </w:footnote>
  <w:footnote w:id="50">
    <w:p w14:paraId="471C6EC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AİHM'in Boden/İsveç Kararı, B.No: 10930/84, 27/10/1987, P.35. </w:t>
      </w:r>
    </w:p>
  </w:footnote>
  <w:footnote w:id="51">
    <w:p w14:paraId="28D232CA"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Fayed/İngiltere Kararı, B.No: 17101/90, 21/09/1994, P.47.</w:t>
      </w:r>
    </w:p>
  </w:footnote>
  <w:footnote w:id="52">
    <w:p w14:paraId="22F3443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Albert ve Le Compte/Belçika Kararı, B.No: 7299/75, 10/02/1983, P.23.</w:t>
      </w:r>
    </w:p>
  </w:footnote>
  <w:footnote w:id="53">
    <w:p w14:paraId="698C4A0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Danıştay 5. Dairesi'nin 04.10.2016 T., 2016/8196E., 2016/4066 K. sayılı kararı. </w:t>
      </w:r>
    </w:p>
  </w:footnote>
  <w:footnote w:id="54">
    <w:p w14:paraId="460168F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Ankara İdare Mahkemesinin 05/01/2017 T., 2016/5606 E., 2017/16 K. sayılı kararı.</w:t>
      </w:r>
    </w:p>
  </w:footnote>
  <w:footnote w:id="55">
    <w:p w14:paraId="3F243421" w14:textId="77777777" w:rsidR="00936167" w:rsidRPr="00595617" w:rsidRDefault="00936167" w:rsidP="00595617">
      <w:pPr>
        <w:pStyle w:val="DipnotMetni1"/>
        <w:spacing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23/01/2017 tarihli ve 29957 sayılı Resmi Gazete.</w:t>
      </w:r>
    </w:p>
  </w:footnote>
  <w:footnote w:id="56">
    <w:p w14:paraId="6AF0A78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İdare Mahkemesi 685 sayılı OHAL KHK'si gereğince </w:t>
      </w:r>
      <w:r w:rsidRPr="00595617">
        <w:rPr>
          <w:rFonts w:ascii="Palatino Linotype" w:hAnsi="Palatino Linotype" w:cstheme="minorHAnsi"/>
          <w:i/>
          <w:color w:val="000000" w:themeColor="text1"/>
          <w:sz w:val="18"/>
          <w:szCs w:val="18"/>
        </w:rPr>
        <w:t xml:space="preserve">"Gönderme Kararı" </w:t>
      </w:r>
      <w:r w:rsidRPr="00595617">
        <w:rPr>
          <w:rFonts w:ascii="Palatino Linotype" w:hAnsi="Palatino Linotype" w:cstheme="minorHAnsi"/>
          <w:color w:val="000000" w:themeColor="text1"/>
          <w:sz w:val="18"/>
          <w:szCs w:val="18"/>
        </w:rPr>
        <w:t>ile dosyayı Danıştay'a göndermiştir. Ankara İdare Mahkemesinin 20/02/2017 T., 2016/5251 E., 2016/5839 K. sayılı kararı.</w:t>
      </w:r>
    </w:p>
  </w:footnote>
  <w:footnote w:id="57">
    <w:p w14:paraId="2D57180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Danıştay 5. Dairesinin 04/10/2016 T., 2016/8196 E., 2016/4066 K. sayılı kararı.</w:t>
      </w:r>
    </w:p>
  </w:footnote>
  <w:footnote w:id="58">
    <w:p w14:paraId="0142348B"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Baka/Macaristan Kararı.</w:t>
      </w:r>
    </w:p>
  </w:footnote>
  <w:footnote w:id="59">
    <w:p w14:paraId="63E6641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Venedik, s.464</w:t>
      </w:r>
    </w:p>
  </w:footnote>
  <w:footnote w:id="60">
    <w:p w14:paraId="189B2EB6"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t xml:space="preserve">ORMANOĞLU Hatice Derya, "Anayasal Bağlamda ve Avrupa İnsan Hakları Sözleşmesi Boyutuyla Suçsuzluk Karinesi" Ankara Üniversitesi Hukuk Fakültesi Dergisi, Sayı: 65 (4), Ankara, 2016, s.2246-2247;  </w:t>
      </w:r>
      <w:r w:rsidRPr="00595617">
        <w:rPr>
          <w:rFonts w:ascii="Palatino Linotype" w:hAnsi="Palatino Linotype" w:cstheme="minorHAnsi"/>
          <w:color w:val="000000" w:themeColor="text1"/>
          <w:sz w:val="18"/>
          <w:szCs w:val="18"/>
        </w:rPr>
        <w:t>İNCEOĞLU, Adil, s.259.</w:t>
      </w:r>
    </w:p>
  </w:footnote>
  <w:footnote w:id="61">
    <w:p w14:paraId="145BC553"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Barbera, Messque ve Jabardo/İspanya Kararı, B.No: 10590/83, 06/12/1988, P.77; HARRIS/O'BOYLE/BATES/BUCKLEY, s.304-305; ORMANOĞLU, s.2258.</w:t>
      </w:r>
    </w:p>
  </w:footnote>
  <w:footnote w:id="62">
    <w:p w14:paraId="1FADC663"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Telfner/Avusturya Kararı, B.No: 33501/96, 20/03/2001, P.18-20; HARRIS/O'BOYLE/BATES/BUCKLEY, s.304-305.</w:t>
      </w:r>
    </w:p>
  </w:footnote>
  <w:footnote w:id="63">
    <w:p w14:paraId="68A09782"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İNCEOĞLU Adil, s.257; HARRIS/O'BOYLE/BATES/BUCKLEY, s.262. </w:t>
      </w:r>
    </w:p>
  </w:footnote>
  <w:footnote w:id="64">
    <w:p w14:paraId="73E1445E"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Serves/Fransa Kararı, P.42.</w:t>
      </w:r>
    </w:p>
  </w:footnote>
  <w:footnote w:id="65">
    <w:p w14:paraId="2408CACD" w14:textId="08FB4194"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HARRIS/O'BOYLE/BATES/BUCKLEY, s.262; DOĞRU/NALBANT, Cilt:1, s.642; İNCEOĞLU, Adil, s.257-258; Avrupa Konseyi Parlamenterler Meclisi İzleme Komitesi'nin talebi üzerine Türkiye'deki OHAL süreci ve tedbirleriyle ilgili görüşünü sunan Venedik Komisyonu konuyla ilgili şunları söylemiştir; </w:t>
      </w:r>
      <w:r w:rsidRPr="00595617">
        <w:rPr>
          <w:rFonts w:ascii="Palatino Linotype" w:hAnsi="Palatino Linotype" w:cstheme="minorHAnsi"/>
          <w:i/>
          <w:iCs/>
          <w:color w:val="000000" w:themeColor="text1"/>
          <w:sz w:val="18"/>
          <w:szCs w:val="18"/>
        </w:rPr>
        <w:t>"OHAL'in ilan edilişindeki anayasa hükümleri, Avrupa standartlarıyla uyumlu gözükse de, hükümet olağanüstü güçlerini adam karalama için kullanmıştır. On binlerce kamu görevlisi KHK'lerle açıklanan listelerle işlerinden atılmıştır",</w:t>
      </w:r>
      <w:r w:rsidRPr="00595617">
        <w:rPr>
          <w:rFonts w:ascii="Palatino Linotype" w:hAnsi="Palatino Linotype" w:cstheme="minorHAnsi"/>
          <w:i/>
          <w:color w:val="000000" w:themeColor="text1"/>
          <w:sz w:val="18"/>
          <w:szCs w:val="18"/>
        </w:rPr>
        <w:t xml:space="preserve"> "OHAL Tedbirleri Anayasa'ya Aykırı!"</w:t>
      </w:r>
      <w:r w:rsidRPr="00595617">
        <w:rPr>
          <w:rFonts w:ascii="Palatino Linotype" w:hAnsi="Palatino Linotype" w:cstheme="minorHAnsi"/>
          <w:color w:val="000000" w:themeColor="text1"/>
          <w:sz w:val="18"/>
          <w:szCs w:val="18"/>
        </w:rPr>
        <w:t xml:space="preserve">,  Cumhuriyet Gazetesi, 10/12/2016, s.5; </w:t>
      </w:r>
    </w:p>
  </w:footnote>
  <w:footnote w:id="66">
    <w:p w14:paraId="0058EFAC" w14:textId="77777777" w:rsidR="00936167" w:rsidRPr="00595617" w:rsidRDefault="00936167" w:rsidP="00595617">
      <w:pPr>
        <w:pStyle w:val="ListeParagraf2"/>
        <w:shd w:val="clear" w:color="auto" w:fill="FFFFFF"/>
        <w:autoSpaceDE w:val="0"/>
        <w:autoSpaceDN w:val="0"/>
        <w:spacing w:after="0" w:line="240" w:lineRule="auto"/>
        <w:ind w:left="567" w:hanging="567"/>
        <w:rPr>
          <w:rFonts w:ascii="Palatino Linotype" w:hAnsi="Palatino Linotype"/>
          <w:i/>
          <w:iCs/>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b/>
          <w:color w:val="000000" w:themeColor="text1"/>
          <w:sz w:val="18"/>
          <w:szCs w:val="18"/>
        </w:rPr>
        <w:tab/>
      </w:r>
      <w:r w:rsidRPr="00595617">
        <w:rPr>
          <w:rFonts w:ascii="Palatino Linotype" w:hAnsi="Palatino Linotype" w:cstheme="minorHAnsi"/>
          <w:color w:val="000000" w:themeColor="text1"/>
          <w:sz w:val="18"/>
          <w:szCs w:val="18"/>
        </w:rPr>
        <w:t>AİHM'in Urat/Türkiye Kararı, B.No: 53561/09 ve 13952/11, 27/11/2018, P.58; Başka bir kararında da</w:t>
      </w:r>
      <w:r w:rsidRPr="00595617">
        <w:rPr>
          <w:rFonts w:ascii="Palatino Linotype" w:hAnsi="Palatino Linotype" w:cstheme="minorHAnsi"/>
          <w:b/>
          <w:color w:val="000000" w:themeColor="text1"/>
          <w:sz w:val="18"/>
          <w:szCs w:val="18"/>
        </w:rPr>
        <w:t xml:space="preserve">,  </w:t>
      </w:r>
      <w:r w:rsidRPr="00595617">
        <w:rPr>
          <w:rFonts w:ascii="Palatino Linotype" w:hAnsi="Palatino Linotype"/>
          <w:color w:val="000000" w:themeColor="text1"/>
          <w:sz w:val="18"/>
          <w:szCs w:val="18"/>
        </w:rPr>
        <w:t xml:space="preserve">öğretmen olan başvurucu hakkında Hizbullah terör örgütü üyesi olma suçlaması ile ceza davası açılmış, açılan dava devam ederken Milli Eğitim Bakanlığı, savcılığın elindeki delillerin başvuranın yasadışı örgüt mensubu olduğunu gösterdiği kanaatiyle başvuranı öğretmenlik mesleğinden çıkarmıştır. Sonrasında Diyarbakır DGM belirli suçlara ilişkin kovuşturmaların ertelenmesine ilişkin 4616 sayılı yasanın yürürlüğe girmesi nedeniyle başvuranın </w:t>
      </w:r>
      <w:r w:rsidRPr="00595617">
        <w:rPr>
          <w:rFonts w:ascii="Palatino Linotype" w:hAnsi="Palatino Linotype"/>
          <w:i/>
          <w:color w:val="000000" w:themeColor="text1"/>
          <w:sz w:val="18"/>
          <w:szCs w:val="18"/>
        </w:rPr>
        <w:t>"yasadışı örgüte yardım ve yataklık"</w:t>
      </w:r>
      <w:r w:rsidRPr="00595617">
        <w:rPr>
          <w:rFonts w:ascii="Palatino Linotype" w:hAnsi="Palatino Linotype"/>
          <w:color w:val="000000" w:themeColor="text1"/>
          <w:sz w:val="18"/>
          <w:szCs w:val="18"/>
        </w:rPr>
        <w:t xml:space="preserve"> suçunun söz konusu yasa kapsamında olduğuna hükmederek hakkındaki yargılamanın ertelenmesine karar vermiştir. Başvurucunun meslekten çıkarma kararına karşı açtığı iptal davası Diyarbakır İdare Mahkemesi tarafından başvurucu hakkındaki DGM kararına atıfla </w:t>
      </w:r>
      <w:r w:rsidRPr="00595617">
        <w:rPr>
          <w:rFonts w:ascii="Palatino Linotype" w:hAnsi="Palatino Linotype"/>
          <w:i/>
          <w:color w:val="000000" w:themeColor="text1"/>
          <w:sz w:val="18"/>
          <w:szCs w:val="18"/>
        </w:rPr>
        <w:t>"ceza yargılamasında, faaliyetlerinin yardım ve yataklık teşkil ettiği tespit edilen"</w:t>
      </w:r>
      <w:r w:rsidRPr="00595617">
        <w:rPr>
          <w:rFonts w:ascii="Palatino Linotype" w:hAnsi="Palatino Linotype"/>
          <w:color w:val="000000" w:themeColor="text1"/>
          <w:sz w:val="18"/>
          <w:szCs w:val="18"/>
        </w:rPr>
        <w:t xml:space="preserve"> başvuranın meslekten çıkarılmasının yasaya uygun olduğuna hükmederek başvuranın davasını reddetmiştir. AİHM kararında masumiyet karinesinin, ceza gerektiren herhangi bir suç isnat edilen kişiye ilişkin bir hukuki kararın, şahsın yasaya göre suçu kanıtlanmadan önce suçlu olduğu yönünde bir görüşü yansıtması halinde ihlal edilmiş olacağını belirterek Diyarbakır İdare Mahkemesi tarafından başvuranın masumiyet karinesinin ihlal edilmiş olduğuna karar vermiştir. AİHM Çelik (Bozkurt)/Türkiye Kararı, B.No: 34388/05, 12/7/2011.</w:t>
      </w:r>
    </w:p>
  </w:footnote>
  <w:footnote w:id="67">
    <w:p w14:paraId="6EEF3AC0"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Minelli/İsviçre Kararı, B.No: 8660/79, 25/03/1983, P.28; DOĞRU/NALBANT, Cilt:1, s.642.</w:t>
      </w:r>
    </w:p>
  </w:footnote>
  <w:footnote w:id="68">
    <w:p w14:paraId="6AADCA77"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 xml:space="preserve">  </w:t>
      </w:r>
      <w:r w:rsidRPr="00595617">
        <w:rPr>
          <w:rStyle w:val="DipnotKarakterleri"/>
          <w:rFonts w:ascii="Palatino Linotype" w:hAnsi="Palatino Linotype" w:cstheme="minorHAnsi"/>
          <w:color w:val="000000" w:themeColor="text1"/>
          <w:sz w:val="18"/>
          <w:szCs w:val="18"/>
        </w:rPr>
        <w:tab/>
        <w:t xml:space="preserve">Mahkeme, yolsuzluk iddiasıyla hakkında soruşturma açılan başvurucuyla ilgili soruşturma makamlarının başvurucunun suçlu olduğunu ima eden açıklamalarda bulunmasını masumiyet karinesinin ihlali saymıştır. AİHM’in Maslarova/Bulgaristan Kararı, B.No: 26966, 31/01/2019, P.40-46; “Mahkeme, Fransız polisinden bazı üst rütbeli memurların hiçbir niteleme veya çekince koymadan, Allenet de Ribemont’u cinayetin azmettiricilerinden biri olarak ve böylece cinayette suç ortağı olarak gösterdiklerini. Bu açıkça başvurucunun suçlu olduğunun beyan edilmesi olup, ilk önce başvurucunun suçlu olduğuna kamuoyunun inanmasını sağlamış ve ikinci olarak yargısal makamların olayları takdir tarzına zarar vermiştir. Bu nedenle Sözleşme’nin 6. maddesinin ikinci fıkrası ihlal edilmiştir.” </w:t>
      </w:r>
      <w:r w:rsidRPr="00595617">
        <w:rPr>
          <w:rFonts w:ascii="Palatino Linotype" w:hAnsi="Palatino Linotype" w:cstheme="minorHAnsi"/>
          <w:color w:val="000000" w:themeColor="text1"/>
          <w:sz w:val="18"/>
          <w:szCs w:val="18"/>
        </w:rPr>
        <w:t xml:space="preserve">AİHM'in Allenet de Ribemont/Fransa Kararı, B.No: 15175/89, 10/02/1995, P.41.  </w:t>
      </w:r>
    </w:p>
  </w:footnote>
  <w:footnote w:id="69">
    <w:p w14:paraId="283D230E"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YB/Türkiye Kararı, B.No: 48173/99, 28/10/2004, P.46-50.</w:t>
      </w:r>
    </w:p>
  </w:footnote>
  <w:footnote w:id="70">
    <w:p w14:paraId="4C76922C"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Resmi yetkilinin, dava konusu olayın gerçekleştiği zamanda görevde bulunması zorunlu olmayıp, bu kişinin geçmişte önemli bir kamu görevi yürütmüş ya da seçimle gelinen bir göreve aday olması gibi kamusal bir görevi veya konumunun bulunması yeterlidir. AİHM'in Affaire Kouzmin/Rusya Kararı, B.No: 58939/00, 18/3/2010, P.59-69.</w:t>
      </w:r>
    </w:p>
  </w:footnote>
  <w:footnote w:id="71">
    <w:p w14:paraId="7BD283C3"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Matijasevic/Sırbistan Kararı, B. No: 23037/04, 19/12/2006, P.49; Nestak/Slovakya Kararı, B.No: 65559/01, 27/5/2007, P.90.</w:t>
      </w:r>
    </w:p>
  </w:footnote>
  <w:footnote w:id="72">
    <w:p w14:paraId="5615D19D" w14:textId="77777777" w:rsidR="00936167" w:rsidRPr="00595617" w:rsidRDefault="00936167" w:rsidP="00595617">
      <w:pPr>
        <w:tabs>
          <w:tab w:val="left" w:pos="1080"/>
        </w:tabs>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Lutz/Almanya Kararı, B.No: 9912/82, 25/8/1987, P. 50-64.</w:t>
      </w:r>
    </w:p>
  </w:footnote>
  <w:footnote w:id="73">
    <w:p w14:paraId="1E1764F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Sekanina/Avusturya Kararı, B.No: 13126/87, 25/8/1993, P.20-31.</w:t>
      </w:r>
    </w:p>
  </w:footnote>
  <w:footnote w:id="74">
    <w:p w14:paraId="0288B438"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Daktaras/Litvanya Kararı, B.No: 42095/98, 17/01/2001, P.42-45; O./Norveç Kararı, B.No: 29327/95, 11/5/2003, P.33-41; Agosi/Birleşik Krallık Kararı, B.No: 9118/80, 24/10/1986, P.64-67.</w:t>
      </w:r>
    </w:p>
  </w:footnote>
  <w:footnote w:id="75">
    <w:p w14:paraId="51767813" w14:textId="77777777" w:rsidR="00936167" w:rsidRPr="00595617" w:rsidRDefault="00936167" w:rsidP="00595617">
      <w:pPr>
        <w:tabs>
          <w:tab w:val="left" w:pos="1080"/>
        </w:tab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AİHM'in Panteleyenko/Ukrayna Kararı, B.No:11901/02, 29/6/2006. </w:t>
      </w:r>
    </w:p>
  </w:footnote>
  <w:footnote w:id="76">
    <w:p w14:paraId="48E93F6E" w14:textId="79182588"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i/>
          <w:color w:val="000000" w:themeColor="text1"/>
          <w:sz w:val="18"/>
          <w:szCs w:val="18"/>
        </w:rPr>
        <w:tab/>
        <w:t xml:space="preserve">“FETÖ”, bir örgütsel yapıya belli bir kişiyle ilişkilendirilerek Devlet marifetiyle(!) verilen bir addır. Bunun teknik hukuk bakımından doğruluğu tartışılabilir bir durumdur. Ancak bu isim, bugün bir suç örgütüyle hatta herhangi bir suçla ilişkilendirilmeyi gerektirmeden, kişilerin menfi anlamda yaftalanma aracına dönüşmüştür. Beğenilmeyen, hoşa gitmeyen düşünceleri açıklayan, kamu gücünü kullananları eleştiren herkesin “cadı” ilan edilerek “engizisyon” usulü yargılanmaya bile gerek olmadan, yargısız olarak mahkûm edilebildiği bir manzara ile karşı karşıyayız. Bu manzara, bize Orta Çağ Avrupası uygulamalarını hatırlatmaktadır." </w:t>
      </w:r>
      <w:r w:rsidR="00874B7E" w:rsidRPr="00595617">
        <w:rPr>
          <w:rFonts w:ascii="Palatino Linotype" w:hAnsi="Palatino Linotype" w:cstheme="minorHAnsi"/>
          <w:sz w:val="18"/>
          <w:szCs w:val="18"/>
        </w:rPr>
        <w:t>ÖZGENÇ İzzet, Suç Örgütleri, 10. Bası, Seçkin Yayınevi, Ankara, 2017</w:t>
      </w:r>
      <w:r w:rsidR="00874B7E" w:rsidRPr="00595617">
        <w:rPr>
          <w:rFonts w:ascii="Palatino Linotype" w:hAnsi="Palatino Linotype" w:cstheme="minorHAnsi"/>
          <w:sz w:val="18"/>
          <w:szCs w:val="18"/>
        </w:rPr>
        <w:t>,</w:t>
      </w:r>
      <w:r w:rsidRPr="00595617">
        <w:rPr>
          <w:rFonts w:ascii="Palatino Linotype" w:hAnsi="Palatino Linotype" w:cstheme="minorHAnsi"/>
          <w:color w:val="000000" w:themeColor="text1"/>
          <w:sz w:val="18"/>
          <w:szCs w:val="18"/>
        </w:rPr>
        <w:t xml:space="preserve"> s.92-93.</w:t>
      </w:r>
    </w:p>
  </w:footnote>
  <w:footnote w:id="77">
    <w:p w14:paraId="3733373A"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İsimlerin yayınlandığı internet sitelerinin bazıları şunlardır; http://hsk.gov.tr/DuyuruOku/889_hakimler-ve-savcilar-yuksek-kurulu-genel-kurulunun-24082016-tarihli-ve-2016426-sayili-karari-ile-.aspx; http://aa.com.tr/tr/15-temmuz-darbe-girisimi/aciga-alinan-hakim-ve-savcılarin-isimleri-belirlendi/609286; http://www.sabah.com.tr/gundem/2016/08/25/2847-hakim-ve-savci-ihrac-edildi-iste-hsyknin-ihrac-listesi; http://www.karar.com/guncel-haberler/hsyk-yeni-ihrac-listesi-267567; http:// www.hurriyet.com.tr/2-bin-745-hakim-ve-savci-icin-gozalti-karari-cikti-40149496; https://www.cnnturk.com/turkiye/2847-hakim-ve-savci-ihrac-edildi; https://www.sabah.com.tr/gundem/2016/07/16/iste-aciga-alinan-fetocu-hakim-ve-savcilar?paging=5; http://www.milliyet.com.tr/hsyk-acikladi-2-bin-745-hakim-gundem-2278880/ </w:t>
      </w:r>
    </w:p>
  </w:footnote>
  <w:footnote w:id="78">
    <w:p w14:paraId="42DA84DC" w14:textId="2E64C366"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 xml:space="preserve"> </w:t>
      </w:r>
      <w:r w:rsidR="00874B7E" w:rsidRPr="00595617">
        <w:rPr>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https://twitter.com/mehmetyilmaz073/status764417027792637952; Benzer mesajlar için bkz. https://twitter. com/mehmetyilmaz073/status/7684771197893922816.</w:t>
      </w:r>
    </w:p>
  </w:footnote>
  <w:footnote w:id="79">
    <w:p w14:paraId="5427CF20"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HSYK Genel Kurulu'nun 29/11/2016 tarihli ve 2016/434 karar no'lu kararı, 30/11/2016 tarihli ve 29904 sayılı Resmi Gazete.</w:t>
      </w:r>
    </w:p>
  </w:footnote>
  <w:footnote w:id="80">
    <w:p w14:paraId="1641EB5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https://www.sabah.com.tr/gundem/2017/01/26/basbakan-binali-yildirim-konusuyor-canli.</w:t>
      </w:r>
    </w:p>
  </w:footnote>
  <w:footnote w:id="81">
    <w:p w14:paraId="79EE7E4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 https://www.yenicaggazetesi.com.tr/fuat-oktay-4-bin-feto-uyesi-hakim-ve-savci-tasfiye-edildi-212505h.htm</w:t>
      </w:r>
    </w:p>
  </w:footnote>
  <w:footnote w:id="82">
    <w:p w14:paraId="4D7099C1"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İsmailov ve Diğerleri/Rusya Kararı, B. No: 2947/06, 01/12/2008, P.166; Nestak/Slovakya Kararı, B.No: 65559/01, 27/5/2007, P.89; Garycki/Polonya Kararı, B.No:14348/02, 06/5/2007, P.67. </w:t>
      </w:r>
    </w:p>
  </w:footnote>
  <w:footnote w:id="83">
    <w:p w14:paraId="73C76118"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Avrupa Birliği Genişleme Politikasına İlişkin 2018 Bilgilendirmesi, s.25, https://www.ab.gov.tr/siteimages/pub/komisyon_ulke_raporlari/2018_genisleme_strateji_belgesi_turkiyeye_iliskin_bolumler_tr.pdf.</w:t>
      </w:r>
    </w:p>
  </w:footnote>
  <w:footnote w:id="84">
    <w:p w14:paraId="42E4C9B5"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İNCEOĞLU, Adil, s.264; HARRIS/O'BOYLE/BATES/BUCKLEY, s.316 vd. </w:t>
      </w:r>
    </w:p>
  </w:footnote>
  <w:footnote w:id="85">
    <w:p w14:paraId="5E1B057C"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r>
      <w:r w:rsidRPr="00595617">
        <w:rPr>
          <w:rFonts w:ascii="Palatino Linotype" w:hAnsi="Palatino Linotype"/>
          <w:i/>
          <w:color w:val="000000" w:themeColor="text1"/>
          <w:sz w:val="18"/>
          <w:szCs w:val="18"/>
        </w:rPr>
        <w:t>"</w:t>
      </w:r>
      <w:r w:rsidRPr="00595617">
        <w:rPr>
          <w:rFonts w:ascii="Palatino Linotype" w:hAnsi="Palatino Linotype"/>
          <w:i/>
          <w:color w:val="000000" w:themeColor="text1"/>
          <w:sz w:val="18"/>
          <w:szCs w:val="18"/>
          <w:shd w:val="clear" w:color="auto" w:fill="FFFFFF"/>
        </w:rPr>
        <w:t>Anayasa'nın 38. maddesinde idari ve adli cezalar arasında bir ayrım yapılmadığından disiplin cezaları da bu maddede öngörülen ilkelere tâbidir."</w:t>
      </w:r>
      <w:r w:rsidRPr="00595617">
        <w:rPr>
          <w:rFonts w:ascii="Palatino Linotype" w:hAnsi="Palatino Linotype"/>
          <w:color w:val="000000" w:themeColor="text1"/>
          <w:sz w:val="18"/>
          <w:szCs w:val="18"/>
          <w:shd w:val="clear" w:color="auto" w:fill="FFFFFF"/>
        </w:rPr>
        <w:t xml:space="preserve"> AYM'nin 14/01/2015 T., 2014/100 E., 2015/6 K. sayılı kararı.</w:t>
      </w:r>
    </w:p>
  </w:footnote>
  <w:footnote w:id="86">
    <w:p w14:paraId="4DAE52FE"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 xml:space="preserve">AİHM'in Teixeira de Castro/Portekiz Kararı, </w:t>
      </w:r>
      <w:r w:rsidRPr="00595617">
        <w:rPr>
          <w:rFonts w:ascii="Palatino Linotype" w:hAnsi="Palatino Linotype" w:cstheme="minorHAnsi"/>
          <w:color w:val="000000" w:themeColor="text1"/>
          <w:sz w:val="18"/>
          <w:szCs w:val="18"/>
        </w:rPr>
        <w:t>B.No: 25829/94, 09/6/1998, P.36; ALTIPARMAK/AKDENİZ, Komisyon, s.5.</w:t>
      </w:r>
    </w:p>
  </w:footnote>
  <w:footnote w:id="87">
    <w:p w14:paraId="33B2B829"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26/02/1983 tarihli ve 17971 sayılı Resmi Gazete.</w:t>
      </w:r>
    </w:p>
  </w:footnote>
  <w:footnote w:id="88">
    <w:p w14:paraId="6A4FC739" w14:textId="7F03C248"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 xml:space="preserve"> </w:t>
      </w:r>
      <w:r w:rsidRPr="00595617">
        <w:rPr>
          <w:rStyle w:val="DipnotKarakterleri"/>
          <w:rFonts w:ascii="Palatino Linotype" w:hAnsi="Palatino Linotype" w:cstheme="minorHAnsi"/>
          <w:color w:val="000000" w:themeColor="text1"/>
          <w:sz w:val="18"/>
          <w:szCs w:val="18"/>
        </w:rPr>
        <w:tab/>
      </w:r>
      <w:r w:rsidR="006A680F" w:rsidRPr="00595617">
        <w:rPr>
          <w:rStyle w:val="DipnotKarakterleri"/>
          <w:rFonts w:ascii="Palatino Linotype" w:hAnsi="Palatino Linotype" w:cstheme="minorHAnsi"/>
          <w:color w:val="000000" w:themeColor="text1"/>
          <w:sz w:val="18"/>
          <w:szCs w:val="18"/>
        </w:rPr>
        <w:t>AİHM'in Özpınar/Türkiye Kararı,</w:t>
      </w:r>
      <w:r w:rsidR="006A680F" w:rsidRPr="00595617">
        <w:rPr>
          <w:rFonts w:ascii="Palatino Linotype" w:hAnsi="Palatino Linotype" w:cstheme="minorHAnsi"/>
          <w:i/>
          <w:color w:val="000000" w:themeColor="text1"/>
          <w:sz w:val="18"/>
          <w:szCs w:val="18"/>
        </w:rPr>
        <w:t xml:space="preserve"> </w:t>
      </w:r>
      <w:r w:rsidR="006A680F" w:rsidRPr="00595617">
        <w:rPr>
          <w:rFonts w:ascii="Palatino Linotype" w:hAnsi="Palatino Linotype" w:cstheme="minorHAnsi"/>
          <w:color w:val="000000" w:themeColor="text1"/>
          <w:sz w:val="18"/>
          <w:szCs w:val="18"/>
        </w:rPr>
        <w:t>B.No:20999/04, 19/10/2010</w:t>
      </w:r>
      <w:r w:rsidRPr="00595617">
        <w:rPr>
          <w:rFonts w:ascii="Palatino Linotype" w:hAnsi="Palatino Linotype" w:cstheme="minorHAnsi"/>
          <w:color w:val="000000" w:themeColor="text1"/>
          <w:sz w:val="18"/>
          <w:szCs w:val="18"/>
        </w:rPr>
        <w:t>, P.77; MUTLU/ŞERMET/ÇELİKBAŞ, s.100.</w:t>
      </w:r>
    </w:p>
  </w:footnote>
  <w:footnote w:id="89">
    <w:p w14:paraId="119AB6BE"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r>
      <w:r w:rsidRPr="00595617">
        <w:rPr>
          <w:rFonts w:ascii="Palatino Linotype" w:hAnsi="Palatino Linotype" w:cstheme="minorHAnsi"/>
          <w:color w:val="000000" w:themeColor="text1"/>
          <w:sz w:val="18"/>
          <w:szCs w:val="18"/>
        </w:rPr>
        <w:t>AİHM'in Ruiz Mateos/İspanya Kararı, B.No: 12952/87, 23/06/1993, P.63; ALTIPARMAK/AKDENİZ, Komisyon, s.6.</w:t>
      </w:r>
    </w:p>
  </w:footnote>
  <w:footnote w:id="90">
    <w:p w14:paraId="7761531D"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 xml:space="preserve">Venedik Komisyonu konuyla ilgili şunları söylemiştir; </w:t>
      </w:r>
      <w:r w:rsidRPr="00595617">
        <w:rPr>
          <w:rFonts w:ascii="Palatino Linotype" w:hAnsi="Palatino Linotype"/>
          <w:i/>
          <w:color w:val="000000" w:themeColor="text1"/>
          <w:sz w:val="18"/>
          <w:szCs w:val="18"/>
        </w:rPr>
        <w:t>"…Avrupa Konseyi İnsan Hakları Komiseri, olağanüstü hal kanun hükmünde kararnamelerinin, kamu görevlilerinin görevden alınmaları hükmünün verilmesinden önce hiçbir çekişmeli yargılamaya gerek görmediğini belirtmiş; “en azından kişilerin kendilerine karşı yöneltilen delillere ulaşma ve karar alınmadan önce kendi iddialarını sunabilme hakları olmalıydı” şeklinde vurgulamıştır. Görevden almalar öncesinde uygulanan usullere ilişkin olarak, Venedik Komisyonu, Avrupa Konseyi İnsan Hakları Komiserinin görüşünü bütünüyle paylaşmaktadır: bu usuller, idari yargı sürecinin bazı asgari gereklerine uygun düşmelidir</w:t>
      </w:r>
      <w:r w:rsidRPr="00595617">
        <w:rPr>
          <w:rFonts w:ascii="Palatino Linotype" w:hAnsi="Palatino Linotype" w:cs="Tahoma"/>
          <w:i/>
          <w:color w:val="000000" w:themeColor="text1"/>
          <w:sz w:val="18"/>
          <w:szCs w:val="18"/>
        </w:rPr>
        <w:t>.</w:t>
      </w:r>
      <w:r w:rsidRPr="00595617">
        <w:rPr>
          <w:rFonts w:ascii="Palatino Linotype" w:hAnsi="Palatino Linotype"/>
          <w:i/>
          <w:color w:val="000000" w:themeColor="text1"/>
          <w:sz w:val="18"/>
          <w:szCs w:val="18"/>
        </w:rPr>
        <w:t xml:space="preserve"> Venedik Komisyonu, ilgili kamu görevlilerinin en azından kendilerine karşı ileri sürülen delilleri öğrenmeleri ve görevden alım kararından önce o deliller hakkında yorum yapmalarına izin verilmesi gerektiğini düşünmektedir</w:t>
      </w:r>
      <w:r w:rsidRPr="00595617">
        <w:rPr>
          <w:rFonts w:ascii="Palatino Linotype" w:hAnsi="Palatino Linotype" w:cs="Tahoma"/>
          <w:i/>
          <w:color w:val="000000" w:themeColor="text1"/>
          <w:sz w:val="18"/>
          <w:szCs w:val="18"/>
        </w:rPr>
        <w:t>."</w:t>
      </w:r>
      <w:r w:rsidRPr="00595617">
        <w:rPr>
          <w:rFonts w:ascii="Palatino Linotype" w:hAnsi="Palatino Linotype" w:cs="Tahoma"/>
          <w:color w:val="000000" w:themeColor="text1"/>
          <w:sz w:val="18"/>
          <w:szCs w:val="18"/>
        </w:rPr>
        <w:t>, Venedik, s.449.</w:t>
      </w:r>
    </w:p>
  </w:footnote>
  <w:footnote w:id="91">
    <w:p w14:paraId="6BBE734C"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"Gerileme Raporu"</w:t>
      </w:r>
      <w:r w:rsidRPr="00595617">
        <w:rPr>
          <w:rFonts w:ascii="Palatino Linotype" w:hAnsi="Palatino Linotype" w:cstheme="minorHAnsi"/>
          <w:color w:val="000000" w:themeColor="text1"/>
          <w:sz w:val="18"/>
          <w:szCs w:val="18"/>
        </w:rPr>
        <w:t xml:space="preserve"> Cumhuriyet Gazetesi, 10/11/2016, s.14.</w:t>
      </w:r>
    </w:p>
  </w:footnote>
  <w:footnote w:id="92">
    <w:p w14:paraId="045A1CE1" w14:textId="77777777" w:rsidR="00936167" w:rsidRPr="00595617" w:rsidRDefault="00936167" w:rsidP="00595617">
      <w:pPr>
        <w:pStyle w:val="DipnotMetni"/>
        <w:tabs>
          <w:tab w:val="left" w:pos="567"/>
        </w:tabs>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Bu hakkın kapsamı ve özellikleriyle ilgili hususlara birinci bölümde yer verildiğinden, bu bölümde tekrar yer verilmemiştir.</w:t>
      </w:r>
    </w:p>
  </w:footnote>
  <w:footnote w:id="93">
    <w:p w14:paraId="1012975E" w14:textId="063440CC" w:rsidR="00936167" w:rsidRPr="00595617" w:rsidRDefault="00936167" w:rsidP="00595617">
      <w:pPr>
        <w:spacing w:after="0" w:line="240" w:lineRule="auto"/>
        <w:ind w:left="567" w:hanging="567"/>
        <w:jc w:val="both"/>
        <w:rPr>
          <w:rFonts w:ascii="Palatino Linotype" w:hAnsi="Palatino Linotype" w:cstheme="minorHAnsi"/>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Harman/Büyük Krallık Kararı, P.53; Deweer/Belçika Kararı, P.35; </w:t>
      </w:r>
      <w:r w:rsidR="00874B7E" w:rsidRPr="00595617">
        <w:rPr>
          <w:rFonts w:ascii="Palatino Linotype" w:hAnsi="Palatino Linotype" w:cstheme="minorHAnsi"/>
          <w:sz w:val="18"/>
          <w:szCs w:val="18"/>
        </w:rPr>
        <w:t>BAYAR Oya, “</w:t>
      </w:r>
      <w:r w:rsidR="00874B7E" w:rsidRPr="00595617">
        <w:rPr>
          <w:rFonts w:ascii="Palatino Linotype" w:hAnsi="Palatino Linotype" w:cstheme="minorHAnsi"/>
          <w:i/>
          <w:sz w:val="18"/>
          <w:szCs w:val="18"/>
        </w:rPr>
        <w:t>Suçta ve Cezada Yasallık İlkesi</w:t>
      </w:r>
      <w:r w:rsidR="00874B7E" w:rsidRPr="00595617">
        <w:rPr>
          <w:rFonts w:ascii="Palatino Linotype" w:hAnsi="Palatino Linotype" w:cstheme="minorHAnsi"/>
          <w:sz w:val="18"/>
          <w:szCs w:val="18"/>
        </w:rPr>
        <w:t>”, İnsan Hakları Avrupa Sözleşmesi ve Anayasa, (Ed. Sibel İnceoğlu), Avrupa Konseyi Yayını, Şen Matbaa, Ankara, 2013, (“</w:t>
      </w:r>
      <w:r w:rsidR="00874B7E" w:rsidRPr="00595617">
        <w:rPr>
          <w:rFonts w:ascii="Palatino Linotype" w:hAnsi="Palatino Linotype" w:cstheme="minorHAnsi"/>
          <w:i/>
          <w:sz w:val="18"/>
          <w:szCs w:val="18"/>
        </w:rPr>
        <w:t>Yasallık</w:t>
      </w:r>
      <w:r w:rsidR="00874B7E" w:rsidRPr="00595617">
        <w:rPr>
          <w:rFonts w:ascii="Palatino Linotype" w:hAnsi="Palatino Linotype" w:cstheme="minorHAnsi"/>
          <w:sz w:val="18"/>
          <w:szCs w:val="18"/>
        </w:rPr>
        <w:t>”)</w:t>
      </w:r>
      <w:r w:rsidR="00874B7E" w:rsidRPr="00595617">
        <w:rPr>
          <w:rFonts w:ascii="Palatino Linotype" w:hAnsi="Palatino Linotype" w:cstheme="minorHAnsi"/>
          <w:sz w:val="18"/>
          <w:szCs w:val="18"/>
        </w:rPr>
        <w:t xml:space="preserve">, s.288; </w:t>
      </w:r>
      <w:r w:rsidR="00874B7E" w:rsidRPr="00595617">
        <w:rPr>
          <w:rFonts w:ascii="Palatino Linotype" w:hAnsi="Palatino Linotype" w:cstheme="minorHAnsi"/>
          <w:sz w:val="18"/>
          <w:szCs w:val="18"/>
        </w:rPr>
        <w:t xml:space="preserve">ALTIPARMAK Kerem, </w:t>
      </w:r>
      <w:r w:rsidR="00874B7E" w:rsidRPr="00595617">
        <w:rPr>
          <w:rFonts w:ascii="Palatino Linotype" w:hAnsi="Palatino Linotype" w:cstheme="minorHAnsi"/>
          <w:i/>
          <w:sz w:val="18"/>
          <w:szCs w:val="18"/>
        </w:rPr>
        <w:t>"Ölü Doğan Çocuk: 685 Sayılı KHK İle Kurulan OHAL Komisyonu"</w:t>
      </w:r>
      <w:r w:rsidR="00874B7E" w:rsidRPr="00595617">
        <w:rPr>
          <w:rFonts w:ascii="Palatino Linotype" w:hAnsi="Palatino Linotype" w:cstheme="minorHAnsi"/>
          <w:sz w:val="18"/>
          <w:szCs w:val="18"/>
        </w:rPr>
        <w:t>, Ankara Barosu Dergisi, Sayı:2017/1, Ankara, 2017, s.77-78, ("</w:t>
      </w:r>
      <w:r w:rsidR="00874B7E" w:rsidRPr="00595617">
        <w:rPr>
          <w:rFonts w:ascii="Palatino Linotype" w:hAnsi="Palatino Linotype" w:cstheme="minorHAnsi"/>
          <w:i/>
          <w:sz w:val="18"/>
          <w:szCs w:val="18"/>
        </w:rPr>
        <w:t>OHAL</w:t>
      </w:r>
      <w:r w:rsidR="00874B7E" w:rsidRPr="00595617">
        <w:rPr>
          <w:rFonts w:ascii="Palatino Linotype" w:hAnsi="Palatino Linotype" w:cstheme="minorHAnsi"/>
          <w:sz w:val="18"/>
          <w:szCs w:val="18"/>
        </w:rPr>
        <w:t>")</w:t>
      </w:r>
      <w:r w:rsidR="00874B7E" w:rsidRPr="00595617">
        <w:rPr>
          <w:rFonts w:ascii="Palatino Linotype" w:hAnsi="Palatino Linotype" w:cstheme="minorHAnsi"/>
          <w:sz w:val="18"/>
          <w:szCs w:val="18"/>
        </w:rPr>
        <w:t xml:space="preserve">, s.79; </w:t>
      </w:r>
      <w:r w:rsidRPr="00595617">
        <w:rPr>
          <w:rFonts w:ascii="Palatino Linotype" w:hAnsi="Palatino Linotype" w:cstheme="minorHAnsi"/>
          <w:color w:val="000000" w:themeColor="text1"/>
          <w:sz w:val="18"/>
          <w:szCs w:val="18"/>
        </w:rPr>
        <w:t>HARRIS/O'BOYLE/BATES/BUCKLEY, s.336</w:t>
      </w:r>
      <w:r w:rsidR="00874B7E" w:rsidRPr="00595617">
        <w:rPr>
          <w:rFonts w:ascii="Palatino Linotype" w:hAnsi="Palatino Linotype" w:cstheme="minorHAnsi"/>
          <w:color w:val="000000" w:themeColor="text1"/>
          <w:sz w:val="18"/>
          <w:szCs w:val="18"/>
        </w:rPr>
        <w:t>.</w:t>
      </w:r>
    </w:p>
  </w:footnote>
  <w:footnote w:id="94">
    <w:p w14:paraId="3445AA65" w14:textId="635B939B"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r>
      <w:r w:rsidR="00874B7E" w:rsidRPr="00595617">
        <w:rPr>
          <w:rStyle w:val="DipnotKarakterleri"/>
          <w:rFonts w:ascii="Palatino Linotype" w:hAnsi="Palatino Linotype" w:cstheme="minorHAnsi"/>
          <w:color w:val="000000" w:themeColor="text1"/>
          <w:sz w:val="18"/>
          <w:szCs w:val="18"/>
        </w:rPr>
        <w:t>AİHM'in Özpınar/Türkiye Kararı,</w:t>
      </w:r>
      <w:r w:rsidR="00874B7E" w:rsidRPr="00595617">
        <w:rPr>
          <w:rFonts w:ascii="Palatino Linotype" w:hAnsi="Palatino Linotype" w:cstheme="minorHAnsi"/>
          <w:i/>
          <w:color w:val="000000" w:themeColor="text1"/>
          <w:sz w:val="18"/>
          <w:szCs w:val="18"/>
        </w:rPr>
        <w:t xml:space="preserve"> </w:t>
      </w:r>
      <w:r w:rsidR="00874B7E" w:rsidRPr="00595617">
        <w:rPr>
          <w:rFonts w:ascii="Palatino Linotype" w:hAnsi="Palatino Linotype" w:cstheme="minorHAnsi"/>
          <w:color w:val="000000" w:themeColor="text1"/>
          <w:sz w:val="18"/>
          <w:szCs w:val="18"/>
        </w:rPr>
        <w:t>B.No:20999/04, 19/10/2010</w:t>
      </w:r>
      <w:r w:rsidRPr="00595617">
        <w:rPr>
          <w:rFonts w:ascii="Palatino Linotype" w:hAnsi="Palatino Linotype" w:cstheme="minorHAnsi"/>
          <w:color w:val="000000" w:themeColor="text1"/>
          <w:sz w:val="18"/>
          <w:szCs w:val="18"/>
        </w:rPr>
        <w:t xml:space="preserve">, P.52; </w:t>
      </w:r>
      <w:r w:rsidR="00874B7E" w:rsidRPr="00595617">
        <w:rPr>
          <w:rFonts w:ascii="Palatino Linotype" w:hAnsi="Palatino Linotype" w:cstheme="minorHAnsi"/>
          <w:sz w:val="18"/>
          <w:szCs w:val="18"/>
        </w:rPr>
        <w:t>MUTLU Erdem İlker/ŞERMET Begüm/ÇELİKBAŞ Nil Merve, “</w:t>
      </w:r>
      <w:r w:rsidR="00874B7E" w:rsidRPr="00595617">
        <w:rPr>
          <w:rFonts w:ascii="Palatino Linotype" w:hAnsi="Palatino Linotype" w:cstheme="minorHAnsi"/>
          <w:i/>
          <w:sz w:val="18"/>
          <w:szCs w:val="18"/>
        </w:rPr>
        <w:t>Özpınar Türkiye Davası</w:t>
      </w:r>
      <w:r w:rsidR="00874B7E" w:rsidRPr="00595617">
        <w:rPr>
          <w:rFonts w:ascii="Palatino Linotype" w:hAnsi="Palatino Linotype" w:cstheme="minorHAnsi"/>
          <w:sz w:val="18"/>
          <w:szCs w:val="18"/>
        </w:rPr>
        <w:t>”, Hacettepe Üniversitesi Hukuk Fakültesi Dergisi, 2(1), Ankara, 2012</w:t>
      </w:r>
      <w:r w:rsidRPr="00595617">
        <w:rPr>
          <w:rFonts w:ascii="Palatino Linotype" w:hAnsi="Palatino Linotype" w:cstheme="minorHAnsi"/>
          <w:color w:val="000000" w:themeColor="text1"/>
          <w:sz w:val="18"/>
          <w:szCs w:val="18"/>
        </w:rPr>
        <w:t>, s.97.</w:t>
      </w:r>
    </w:p>
  </w:footnote>
  <w:footnote w:id="95">
    <w:p w14:paraId="6FA6B5D6"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Oleksandr Volkov/Ukrayna Kararı.</w:t>
      </w:r>
    </w:p>
  </w:footnote>
  <w:footnote w:id="96">
    <w:p w14:paraId="699AC81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Al Nashif/Bulgaristan Kararı, P.119-124.</w:t>
      </w:r>
    </w:p>
  </w:footnote>
  <w:footnote w:id="97">
    <w:p w14:paraId="71FA927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ALTIPARMAK/AKDENİZ, Komisyon, s.9-10.</w:t>
      </w:r>
    </w:p>
  </w:footnote>
  <w:footnote w:id="98">
    <w:p w14:paraId="34D29C7A"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AYM'nin Selçuk Özdemir Kararı, P.21.</w:t>
      </w:r>
    </w:p>
  </w:footnote>
  <w:footnote w:id="99">
    <w:p w14:paraId="0EC9D0DC"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KORKMAZ Ali, </w:t>
      </w:r>
      <w:r w:rsidRPr="00595617">
        <w:rPr>
          <w:rFonts w:ascii="Palatino Linotype" w:hAnsi="Palatino Linotype" w:cstheme="minorHAnsi"/>
          <w:i/>
          <w:iCs/>
          <w:color w:val="000000" w:themeColor="text1"/>
          <w:sz w:val="18"/>
          <w:szCs w:val="18"/>
        </w:rPr>
        <w:t>"İnsan Hakları Bağlamında Özel Hayatın Gizliliği ve Korunması"</w:t>
      </w:r>
      <w:r w:rsidRPr="00595617">
        <w:rPr>
          <w:rFonts w:ascii="Palatino Linotype" w:hAnsi="Palatino Linotype" w:cstheme="minorHAnsi"/>
          <w:color w:val="000000" w:themeColor="text1"/>
          <w:sz w:val="18"/>
          <w:szCs w:val="18"/>
        </w:rPr>
        <w:t xml:space="preserve">, KMÜ Sosyal ve Ekonomik Araştırmalar Dergisi, Sayı:16 (Özel Sayı: 1), 2014, s.102; KEKLİK Ramazan, Özel Hayatın Gizliliğini İhlal Suçları, Adalet Yayınevi, Ankara, 2012, s.29; SALİHPAŞAOĞLU Yaşar, </w:t>
      </w:r>
      <w:r w:rsidRPr="00595617">
        <w:rPr>
          <w:rFonts w:ascii="Palatino Linotype" w:hAnsi="Palatino Linotype" w:cstheme="minorHAnsi"/>
          <w:i/>
          <w:iCs/>
          <w:color w:val="000000" w:themeColor="text1"/>
          <w:sz w:val="18"/>
          <w:szCs w:val="18"/>
        </w:rPr>
        <w:t>"Özel Hayatın Kapsamı: Avrupa İnsan Hakları Mahkemesi İçtihatları Işığında Bir Değerlendirme"</w:t>
      </w:r>
      <w:r w:rsidRPr="00595617">
        <w:rPr>
          <w:rFonts w:ascii="Palatino Linotype" w:hAnsi="Palatino Linotype" w:cstheme="minorHAnsi"/>
          <w:color w:val="000000" w:themeColor="text1"/>
          <w:sz w:val="18"/>
          <w:szCs w:val="18"/>
        </w:rPr>
        <w:t xml:space="preserve">, Gazi Üniversitesi Hukuk Fakültesi Dergisi, Ankara, 2013, Sayı: 3, s.231. </w:t>
      </w:r>
    </w:p>
  </w:footnote>
  <w:footnote w:id="100">
    <w:p w14:paraId="6F5E47E8"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KILIÇOĞLU M. Ahmet, Şeref, Haysiyet ve Özel Yaşama Basın Yoluyla Saldırılardan Hukuksal Sorumluluk, Turhan Kitapevi, Ankara, 2008, s.113.</w:t>
      </w:r>
    </w:p>
  </w:footnote>
  <w:footnote w:id="101">
    <w:p w14:paraId="0EF99422"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KARAHİSAR Tuba, </w:t>
      </w:r>
      <w:r w:rsidRPr="00595617">
        <w:rPr>
          <w:rFonts w:ascii="Palatino Linotype" w:hAnsi="Palatino Linotype" w:cstheme="minorHAnsi"/>
          <w:i/>
          <w:iCs/>
          <w:color w:val="000000" w:themeColor="text1"/>
          <w:sz w:val="18"/>
          <w:szCs w:val="18"/>
        </w:rPr>
        <w:t>"Özel Hayatın Gizliliği ve İnternette İşlenen Suçlar"</w:t>
      </w:r>
      <w:r w:rsidRPr="00595617">
        <w:rPr>
          <w:rFonts w:ascii="Palatino Linotype" w:hAnsi="Palatino Linotype" w:cstheme="minorHAnsi"/>
          <w:color w:val="000000" w:themeColor="text1"/>
          <w:sz w:val="18"/>
          <w:szCs w:val="18"/>
        </w:rPr>
        <w:t>, II. Medya ve Etik Sempozyumu, Medya-Kültür İlişkisinde Etik, Elazığ, 2011, s.602.</w:t>
      </w:r>
    </w:p>
  </w:footnote>
  <w:footnote w:id="102">
    <w:p w14:paraId="17B491C7"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ARSLAN ÖNCÜ Gülay, "</w:t>
      </w:r>
      <w:r w:rsidRPr="00595617">
        <w:rPr>
          <w:rFonts w:ascii="Palatino Linotype" w:hAnsi="Palatino Linotype" w:cstheme="minorHAnsi"/>
          <w:i/>
          <w:iCs/>
          <w:color w:val="000000" w:themeColor="text1"/>
          <w:sz w:val="18"/>
          <w:szCs w:val="18"/>
        </w:rPr>
        <w:t>Özel Yaşam ile Aile Yaşamına Saygı Hakkı"</w:t>
      </w:r>
      <w:r w:rsidRPr="00595617">
        <w:rPr>
          <w:rFonts w:ascii="Palatino Linotype" w:hAnsi="Palatino Linotype" w:cstheme="minorHAnsi"/>
          <w:color w:val="000000" w:themeColor="text1"/>
          <w:sz w:val="18"/>
          <w:szCs w:val="18"/>
        </w:rPr>
        <w:t xml:space="preserve">, İnsan Hakları Avrupa Sözleşmesi ve Anayasa, (Editör: Sibel İnceoğlu) Avrupa Konseyi Yayını, Şen Matbaa, Ankara, 2013, s.301 vd; DOĞRU Mehmet/NALBANT Atilla, İnsan Hakları Avrupa Sözleşmesi, Açıklama ve Önemli Kararlar, Cilt:2, Şen Matbaa, Ankara, 2012, s.1 vd., </w:t>
      </w:r>
      <w:r w:rsidRPr="00595617">
        <w:rPr>
          <w:rFonts w:ascii="Palatino Linotype" w:hAnsi="Palatino Linotype" w:cstheme="minorHAnsi"/>
          <w:i/>
          <w:iCs/>
          <w:color w:val="000000" w:themeColor="text1"/>
          <w:sz w:val="18"/>
          <w:szCs w:val="18"/>
        </w:rPr>
        <w:t>"(Cilt:2)"</w:t>
      </w:r>
      <w:r w:rsidRPr="00595617">
        <w:rPr>
          <w:rFonts w:ascii="Palatino Linotype" w:hAnsi="Palatino Linotype" w:cstheme="minorHAnsi"/>
          <w:color w:val="000000" w:themeColor="text1"/>
          <w:sz w:val="18"/>
          <w:szCs w:val="18"/>
        </w:rPr>
        <w:t>; HARRIS/O'BOYLE/BATES/BUCKLEY, s.368.</w:t>
      </w:r>
    </w:p>
  </w:footnote>
  <w:footnote w:id="103">
    <w:p w14:paraId="0549465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Sidabras ve Dziautas/Litvanya Kararı, B. No: 59330/00, 27/10/2004, P.43.</w:t>
      </w:r>
    </w:p>
  </w:footnote>
  <w:footnote w:id="104">
    <w:p w14:paraId="671BBF7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KEKLİK, s.29.</w:t>
      </w:r>
    </w:p>
  </w:footnote>
  <w:footnote w:id="105">
    <w:p w14:paraId="2E8DD00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ARSLAN ÖNCÜ, s.303. </w:t>
      </w:r>
    </w:p>
  </w:footnote>
  <w:footnote w:id="106">
    <w:p w14:paraId="1171E65F"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AYM'nin 31/03/1987 T., 1986/24 E., 1987/8 K. sayılı kararı. </w:t>
      </w:r>
    </w:p>
  </w:footnote>
  <w:footnote w:id="107">
    <w:p w14:paraId="599F97D6"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Niemietz/Almanya Kararı, B. No: 13710/88, 16/12/1992, P.29; Sidabras ve Diğerleri/Litvanya Kararı, P.43.</w:t>
      </w:r>
    </w:p>
  </w:footnote>
  <w:footnote w:id="108">
    <w:p w14:paraId="5A90D7F7"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DOĞRU/NALBANT, Cilt:2, s.4; HARRIS/O'BOYLE/BATES/BUCKLEY, s.370-371; ARSLAN ÖNCÜ, s.302; Özpınar/Türkiye Kararı, P.45-48.</w:t>
      </w:r>
    </w:p>
  </w:footnote>
  <w:footnote w:id="109">
    <w:p w14:paraId="01B9F5CD"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Niemietz/Almanya Kararı, P.29; Özpınar/Türkiye Kararı, P.46; MUTLU/ŞERMET/ÇELİKBAŞ, s.96; ALTIPARMAK, Sivil, s.4.</w:t>
      </w:r>
    </w:p>
  </w:footnote>
  <w:footnote w:id="110">
    <w:p w14:paraId="56176F7F"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 Mahkeme, özel yaşamın, “bir bireyin, mesleki veya iş niteliğindeki ilişkileri de içine alarak, diğer insanlarla ilişkiler kurma ve geliştirme hakkını çevrelediğini” belirtir (Bk. C./Belçika, 7 Ağustos 1996, § 25, Derlemeler 1996-III). Sözleşme’nin 8. maddesi, “kişisel gelişim hakkını ve diğer insanlarla ve dış dünya ile ilişkiler kurma ve geliştirme hakkını korur” (Bk. Pretty/Birleşik Krallık, no. 2346/02, § 61, AİHM 2002-III). “Özel yaşam” kavramı mesleki veya iş niteliğindeki faaliyetleri ilke olarak dışta bırakmaz. Nihayetinde iş yaşamları boyunca insanların çoğunluğu dış dünya ile ilişki geliştirmek için önemli bir şansa sahip olmaktadır (Bk. Niemietz/Almanya, 16 Aralık 1992, § 29, Seri A no. 251-B). Bundan dolayı, mesleğe giriş bakımından uygulanan sınırlamaların “özel yaşamı” etkilediği saptanmıştır (Bk. Sidabras ve Džiautas/ Litvanya, no. 55480/00 ve 59330/00, § 47, AİHM 2004-VIII ve Bigaeva/ Yunanistan, no. 26713/05, §§ 22-25, 28 Mayıs 2009). Benzer şekilde, görevden azlin, özel yaşama saygı hakkına müdahale olduğu saptanmıştır (Bk. Özpınar/Türkiye, no. 20999/04, §§ 43-48, 19 Ekim 2010). Son olarak, 8. madde, özel yaşama saygı hakkının bir parçası olarak onurun ve şöhretin korunması konularını ele alır (Bk. Pfeifer/Avusturya, no. 12556/03, § 35, 15 Kasım 2007, ve A./ Norveç, no. 28070/06, §§ 63 ve 64, 9 Nisan 2009).”</w:t>
      </w:r>
      <w:r w:rsidRPr="00595617">
        <w:rPr>
          <w:rFonts w:ascii="Palatino Linotype" w:hAnsi="Palatino Linotype" w:cstheme="minorHAnsi"/>
          <w:color w:val="000000" w:themeColor="text1"/>
          <w:sz w:val="18"/>
          <w:szCs w:val="18"/>
        </w:rPr>
        <w:t xml:space="preserve"> AİHM'nin Oleksandr Volkov/Ukrayna Kararı, P.166-167.</w:t>
      </w:r>
    </w:p>
  </w:footnote>
  <w:footnote w:id="111">
    <w:p w14:paraId="5C1D338E"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AİHM'in Emel Boyraz/Türkiye Kararı, B.No: 61960/08, 02/12/2014, P.43-44; Sidabras ve Dziautas/Litvanya Kararı, P.47-50; ROAGNA Ivana, Avrupa İnsan Hakları Sözleşmesi Kapsamında Özel Hayata ve Aile Hayatına Saygı Gösterilmesi Hakkının Korunması, Avrupa Konseyi İnsan Hakları El Kitapları, Strazburg, 2012,s.12; KILIÇKAYA Zeynep, </w:t>
      </w:r>
      <w:r w:rsidRPr="00595617">
        <w:rPr>
          <w:rFonts w:ascii="Palatino Linotype" w:hAnsi="Palatino Linotype" w:cstheme="minorHAnsi"/>
          <w:i/>
          <w:color w:val="000000" w:themeColor="text1"/>
          <w:sz w:val="18"/>
          <w:szCs w:val="18"/>
        </w:rPr>
        <w:t>"Avrupa İnsan Hakları Mahkemesi Kararları Işığında Anayasa Mahkemesi’nin Bireysel Başvuru İncelemelerinde Çalışma Hakkı"</w:t>
      </w:r>
      <w:r w:rsidRPr="00595617">
        <w:rPr>
          <w:rFonts w:ascii="Palatino Linotype" w:hAnsi="Palatino Linotype" w:cstheme="minorHAnsi"/>
          <w:color w:val="000000" w:themeColor="text1"/>
          <w:sz w:val="18"/>
          <w:szCs w:val="18"/>
        </w:rPr>
        <w:t>, Dokuz Eylül Üniversitesi Hukuk Fakültesi Dergisi, Cilt: 18, Sayı: 2, İzmir, 2017, s.139.</w:t>
      </w:r>
    </w:p>
  </w:footnote>
  <w:footnote w:id="112">
    <w:p w14:paraId="674FA5F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Wille/Lihtenştayn Büyük Daire Kararı, B.No:28396/95, 28/10/1999, P.41; Kosiek/Almanya Kararı, B.No: 9704/82, 28/8/1986, P.35.</w:t>
      </w:r>
    </w:p>
  </w:footnote>
  <w:footnote w:id="113">
    <w:p w14:paraId="759E538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AİHM'in Silver ve Diğerleri/Birleşik Krallık Kararı, B.No:5947/72, 25/3/1983, P.86.</w:t>
      </w:r>
    </w:p>
  </w:footnote>
  <w:footnote w:id="114">
    <w:p w14:paraId="55F79D10"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AİHM'in Malone/Birleşik Krallık Kararı, B.No:8691/79, 02/8/1984, AİHM'in Sunday Times/İngiltere Kararı, B.No:6538/74, 26/4/1979, P.47; ÇETİN Evra, İnsan Hakları Avrupa Sözleşmesi'nin 8-11. Maddeleri Bağlamında Çalışanların Hakları, XII Levha Yayınları, İstanbul, 2015, s.107; ŞEN Mahmut, </w:t>
      </w:r>
      <w:r w:rsidRPr="00595617">
        <w:rPr>
          <w:rFonts w:ascii="Palatino Linotype" w:hAnsi="Palatino Linotype" w:cstheme="minorHAnsi"/>
          <w:i/>
          <w:color w:val="000000" w:themeColor="text1"/>
          <w:sz w:val="18"/>
          <w:szCs w:val="18"/>
        </w:rPr>
        <w:t>"Avrupa İnsan Hakları Sözleşmesi'ne Göre Hakim ve Savcıların İfade Hürriyeti"</w:t>
      </w:r>
      <w:r w:rsidRPr="00595617">
        <w:rPr>
          <w:rFonts w:ascii="Palatino Linotype" w:hAnsi="Palatino Linotype" w:cstheme="minorHAnsi"/>
          <w:color w:val="000000" w:themeColor="text1"/>
          <w:sz w:val="18"/>
          <w:szCs w:val="18"/>
        </w:rPr>
        <w:t xml:space="preserve">, Uyuşmazlık Mahkemesi Dergisi, Sayı: 7, Ankara, 2016, s.948; ÖZBEY Özcan, </w:t>
      </w:r>
      <w:r w:rsidRPr="00595617">
        <w:rPr>
          <w:rFonts w:ascii="Palatino Linotype" w:hAnsi="Palatino Linotype" w:cstheme="minorHAnsi"/>
          <w:i/>
          <w:color w:val="000000" w:themeColor="text1"/>
          <w:sz w:val="18"/>
          <w:szCs w:val="18"/>
        </w:rPr>
        <w:t>"Avrupa İnsan Hakları Sözleşmesi Işığında İfade Hürriyeti Kısıtlamaları"</w:t>
      </w:r>
      <w:r w:rsidRPr="00595617">
        <w:rPr>
          <w:rFonts w:ascii="Palatino Linotype" w:hAnsi="Palatino Linotype" w:cstheme="minorHAnsi"/>
          <w:color w:val="000000" w:themeColor="text1"/>
          <w:sz w:val="18"/>
          <w:szCs w:val="18"/>
        </w:rPr>
        <w:t>, Türkiye Barolar Birliği Dergisi, Sayı: 106, Ankara, 2013, s.50; DOĞRU/NALBANT, Cilt:2, s.11.</w:t>
      </w:r>
    </w:p>
  </w:footnote>
  <w:footnote w:id="115">
    <w:p w14:paraId="1751570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Özpınar/Türkiye Kararı, P.52.</w:t>
      </w:r>
    </w:p>
  </w:footnote>
  <w:footnote w:id="116">
    <w:p w14:paraId="2684E78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Uzun/Almanya Kararı, B.No: 35623/05, 02/12/2010, P.68; DOĞRU/NALBANT, Cilt:2, s.13.</w:t>
      </w:r>
    </w:p>
  </w:footnote>
  <w:footnote w:id="117">
    <w:p w14:paraId="53B24E00"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ÖZBEY, s.51; ŞEN, s.948; ÇETİN, s.107; DOĞRU/NALBANT, Cilt:2, s.11.</w:t>
      </w:r>
    </w:p>
  </w:footnote>
  <w:footnote w:id="118">
    <w:p w14:paraId="7A6745C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Silver ve Diğerleri/Birleşik Krallık Kararı, P.87-88; DOĞRU/NALBANT, Cilt:2, s.11.</w:t>
      </w:r>
    </w:p>
  </w:footnote>
  <w:footnote w:id="119">
    <w:p w14:paraId="66ED56E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Sunday Times/İngiltere Kararı, P.49; ŞEN, s.948; ÖZBEY, s.51.</w:t>
      </w:r>
    </w:p>
  </w:footnote>
  <w:footnote w:id="120">
    <w:p w14:paraId="3A2B09B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Sacit Kayasu/Türkiye Kararı, B.No: 61119/00 ve 76292/01, 13/11/2008, P.85; DOĞRU/NALBANT, Cilt:2, s.13.</w:t>
      </w:r>
    </w:p>
  </w:footnote>
  <w:footnote w:id="121">
    <w:p w14:paraId="2020CE15"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AYM'nin 28/12/2013 T., 2012/116 E., 2013/32 K. sayılı kararı.</w:t>
      </w:r>
    </w:p>
  </w:footnote>
  <w:footnote w:id="122">
    <w:p w14:paraId="258EC73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Ternovszky/Macaristan Kararı, B.No: 67545/09, 14/3/2011, P.26; DOĞRU/NALBANT, Cilt:2, s.13.</w:t>
      </w:r>
    </w:p>
  </w:footnote>
  <w:footnote w:id="123">
    <w:p w14:paraId="717E06D6"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Özpınar/Türkiye Kararı, P.54.</w:t>
      </w:r>
    </w:p>
  </w:footnote>
  <w:footnote w:id="124">
    <w:p w14:paraId="0AD928D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AYM'nin 28/02/2013 T., 2012/116 E., 2013/32 K. sayılı kararı.</w:t>
      </w:r>
    </w:p>
  </w:footnote>
  <w:footnote w:id="125">
    <w:p w14:paraId="4801A07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Bykov/Rusya Büyük Daire Kararı, B.No: 4378/02, 10/3/2009, P.76; Liberty ve Diğerleri/Birleşik Krallık Kararı, B.No: 58243/00, 01/7/2008, P.62; Amann/İsviçre Büyük Daire Kararı, B.No:27798/95, 16/02/2000, P.76-77; DOĞRU/NALBANT, Cilt:2, s.13.</w:t>
      </w:r>
    </w:p>
  </w:footnote>
  <w:footnote w:id="126">
    <w:p w14:paraId="0176E56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Özpınar/Türkiye Kararı, P.77-78.</w:t>
      </w:r>
    </w:p>
  </w:footnote>
  <w:footnote w:id="127">
    <w:p w14:paraId="494C76C4"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Haralombie/Romanya Kararı, B. No: 21737/03, Ekim 2009, P.79; TÜRMEN Rıza, "</w:t>
      </w:r>
      <w:r w:rsidRPr="00595617">
        <w:rPr>
          <w:rFonts w:ascii="Palatino Linotype" w:hAnsi="Palatino Linotype" w:cstheme="minorHAnsi"/>
          <w:i/>
          <w:iCs/>
          <w:color w:val="000000" w:themeColor="text1"/>
          <w:sz w:val="18"/>
          <w:szCs w:val="18"/>
        </w:rPr>
        <w:t>KHK'lere Karşı Ne Yapılabilir?</w:t>
      </w:r>
      <w:r w:rsidRPr="00595617">
        <w:rPr>
          <w:rFonts w:ascii="Palatino Linotype" w:hAnsi="Palatino Linotype" w:cstheme="minorHAnsi"/>
          <w:color w:val="000000" w:themeColor="text1"/>
          <w:sz w:val="18"/>
          <w:szCs w:val="18"/>
        </w:rPr>
        <w:t>", Cumhuriyet Gazetesi, 14/10/2016, s.13, ("</w:t>
      </w:r>
      <w:r w:rsidRPr="00595617">
        <w:rPr>
          <w:rFonts w:ascii="Palatino Linotype" w:hAnsi="Palatino Linotype" w:cstheme="minorHAnsi"/>
          <w:i/>
          <w:iCs/>
          <w:color w:val="000000" w:themeColor="text1"/>
          <w:sz w:val="18"/>
          <w:szCs w:val="18"/>
        </w:rPr>
        <w:t>KHK</w:t>
      </w:r>
      <w:r w:rsidRPr="00595617">
        <w:rPr>
          <w:rFonts w:ascii="Palatino Linotype" w:hAnsi="Palatino Linotype" w:cstheme="minorHAnsi"/>
          <w:color w:val="000000" w:themeColor="text1"/>
          <w:sz w:val="18"/>
          <w:szCs w:val="18"/>
        </w:rPr>
        <w:t>").</w:t>
      </w:r>
    </w:p>
  </w:footnote>
  <w:footnote w:id="128">
    <w:p w14:paraId="157513D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Sodan/Türkiye Kararı, P.45-61.</w:t>
      </w:r>
    </w:p>
  </w:footnote>
  <w:footnote w:id="129">
    <w:p w14:paraId="478643B1"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 xml:space="preserve">AİHM'in </w:t>
      </w:r>
      <w:r w:rsidRPr="00595617">
        <w:rPr>
          <w:rFonts w:ascii="Palatino Linotype" w:hAnsi="Palatino Linotype" w:cstheme="minorHAnsi"/>
          <w:color w:val="000000" w:themeColor="text1"/>
          <w:sz w:val="18"/>
          <w:szCs w:val="18"/>
        </w:rPr>
        <w:t>Özpınar/Türkiye Kararı, P.54.</w:t>
      </w:r>
    </w:p>
  </w:footnote>
  <w:footnote w:id="130">
    <w:p w14:paraId="04DFC66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OHAL sonrası dönemde alınacak tedbirlere ilişkin hususların düzenlendiği 7145 sayılı Kanun'un 12. maddesiyle 3713 sayılı Terörle Mücadele Kanununa eklenen ek madde de; </w:t>
      </w:r>
      <w:r w:rsidRPr="00595617">
        <w:rPr>
          <w:rFonts w:ascii="Palatino Linotype" w:hAnsi="Palatino Linotype" w:cstheme="minorHAnsi"/>
          <w:i/>
          <w:color w:val="000000" w:themeColor="text1"/>
          <w:sz w:val="18"/>
          <w:szCs w:val="18"/>
        </w:rPr>
        <w:t>"… Milli Güvenlik Kurulunca Devletin millî güvenliğine karşı faaliyette bulunduğuna karar verilen yapı, oluşum veya gruplara üyeliği, mensubiyeti ve iltisakı yahut bunlarla irtibatı nedeniyle kamu görevinden çıkarılanların silah ruhsatları iptal edilir, bu silahların mülkiyetinin kamuya geçirilmesine karar verilir ve 10/7/1953 tarihli ve 6136 sayılı Ateşli Silahlar ve Bıçaklar ile Diğer Aletler Hakkında Kanunun ek 8 inci maddesine göre ilgili idarelerce işlem tesis edilir. Müsadere hükümleri saklıdır."</w:t>
      </w:r>
      <w:r w:rsidRPr="00595617">
        <w:rPr>
          <w:rFonts w:ascii="Palatino Linotype" w:hAnsi="Palatino Linotype" w:cstheme="minorHAnsi"/>
          <w:color w:val="000000" w:themeColor="text1"/>
          <w:sz w:val="18"/>
          <w:szCs w:val="18"/>
        </w:rPr>
        <w:t xml:space="preserve"> ifadesine yer verilmiştir. Madde metninden de anlaşılacağı üzere, kamu görevinden çıkarılan kişilerin paralarıyla aldıkları silahlar, haklarında verilmiş bir mahkûmiyet kararı aranmaksızın adeta müsadere edilmiş ve bu suretle, silahlarını başkalarına devretme veya bulundurma ruhsatı alarak bu silahları kullanma imkânları ellerinden alınmıştır.</w:t>
      </w:r>
    </w:p>
  </w:footnote>
  <w:footnote w:id="131">
    <w:p w14:paraId="17CC175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Konuyla ilgili olarak Venedik Komisyonu şunları söylemiştir; </w:t>
      </w:r>
      <w:r w:rsidRPr="00595617">
        <w:rPr>
          <w:rFonts w:ascii="Palatino Linotype" w:hAnsi="Palatino Linotype" w:cstheme="minorHAnsi"/>
          <w:i/>
          <w:color w:val="000000" w:themeColor="text1"/>
          <w:sz w:val="18"/>
          <w:szCs w:val="18"/>
        </w:rPr>
        <w:t>"…tüm bu tedbirler, kamu görevlilerinin aile fertlerini de yani Gülen cemaatiyle hiçbir alakası olmayan insanları da ciddi şekilde etkilemektedir. Bu gibi kamu görevlilerinin yakın çevresinde bulunan kişilerin mahremiyetine, evine ve hareket özgürlüğüne müdahale etmek için bilhassa güçlü gerekçelerin bulunması gereklidir. Venedik Komisyon ayrıca olağanüstü rejimin esas amacının demokratik kurumları normal işleyişine geri döndürmek, kalkışmayı bertaraf etmek ve yeni bir darbe girişimini engellemek olduğunu hatırlatır. Venedik Komisyonu, kamu görevlisi ve ailesinin kamu konutlarından tahliye edilmesi gibi tedbirlerin bu amaca ne derece hizmet ettiğinden emin değildir. Komisyonun görüşüne göre, cezalandırıcı nitelikte olduğu ve bir tür yardım ve yataklık suçunu ima ettiği sürece, bu tedbirler “durumun zaruretleriyle kati suretle gerekli” olarak kabul edilemez."</w:t>
      </w:r>
      <w:r w:rsidRPr="00595617">
        <w:rPr>
          <w:rFonts w:ascii="Palatino Linotype" w:hAnsi="Palatino Linotype" w:cstheme="minorHAnsi"/>
          <w:color w:val="000000" w:themeColor="text1"/>
          <w:sz w:val="18"/>
          <w:szCs w:val="18"/>
        </w:rPr>
        <w:t xml:space="preserve"> Venedik, s.450.</w:t>
      </w:r>
    </w:p>
  </w:footnote>
  <w:footnote w:id="132">
    <w:p w14:paraId="0BA94DD7"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AİHM'in Özpınar/Türkiye Kararı, P.79.</w:t>
      </w:r>
    </w:p>
  </w:footnote>
  <w:footnote w:id="133">
    <w:p w14:paraId="791BD8A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ÇETİN, s.13; DOĞRU/NALBANT, Cilt:2, s.14; ŞEN, s.949. </w:t>
      </w:r>
    </w:p>
  </w:footnote>
  <w:footnote w:id="134">
    <w:p w14:paraId="3C53EE5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AİHM'in Nada/İsviçre Büyük Daire Kararı, B.No:10593/08, 12/09/2012, P.74.</w:t>
      </w:r>
    </w:p>
  </w:footnote>
  <w:footnote w:id="135">
    <w:p w14:paraId="7AEC4251" w14:textId="77777777" w:rsidR="00936167" w:rsidRPr="00595617" w:rsidRDefault="00936167" w:rsidP="00595617">
      <w:pPr>
        <w:pStyle w:val="DipnotMetni"/>
        <w:tabs>
          <w:tab w:val="left" w:pos="3915"/>
        </w:tabs>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DOĞRU/NALBANT, Cilt:2, s.15.</w:t>
      </w:r>
      <w:r w:rsidRPr="00595617">
        <w:rPr>
          <w:rFonts w:ascii="Palatino Linotype" w:hAnsi="Palatino Linotype" w:cstheme="minorHAnsi"/>
          <w:color w:val="000000" w:themeColor="text1"/>
          <w:sz w:val="18"/>
          <w:szCs w:val="18"/>
        </w:rPr>
        <w:tab/>
      </w:r>
    </w:p>
  </w:footnote>
  <w:footnote w:id="136">
    <w:p w14:paraId="54B92A2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AİHM'in Özpınar/Türkiye Kararı, P.79.</w:t>
      </w:r>
    </w:p>
  </w:footnote>
  <w:footnote w:id="137">
    <w:p w14:paraId="5E9285B6"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AİHM'in Benedik/Slovenya Kararı, B.No:62357/14, 24/04/2018, P.133.</w:t>
      </w:r>
    </w:p>
  </w:footnote>
  <w:footnote w:id="138">
    <w:p w14:paraId="362080C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Klass ve Diğerleri/Almanya Kararı, B.No:  55029/71, 06/09/1978, P.55; DOĞRU/NALBANT, Cilt:2, s.15; ŞEN, s.950; ÖZBEY, s.53.</w:t>
      </w:r>
    </w:p>
  </w:footnote>
  <w:footnote w:id="139">
    <w:p w14:paraId="17F8BD6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ab/>
        <w:t>AİHM'in Nada/İsviçre Büyük Daire Kararı, P.181; ŞEN, s.950; ÖZBEY, s.56; DOĞRU/NALBANT, Cilt:2, s.15.</w:t>
      </w:r>
    </w:p>
  </w:footnote>
  <w:footnote w:id="140">
    <w:p w14:paraId="3C86652B"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ab/>
        <w:t>AİHM'in Nada/İsviçre Büyük Daire Kararı, P.183; ÖZBEY, s.56; DOĞRU/NALBANT, Cilt:2, s.15-16; ŞEN, s.951-952.</w:t>
      </w:r>
    </w:p>
  </w:footnote>
  <w:footnote w:id="141">
    <w:p w14:paraId="0AE3F32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22.12.1966 tarihli ve 12484 sayılı Resmi Gazete.</w:t>
      </w:r>
    </w:p>
  </w:footnote>
  <w:footnote w:id="142">
    <w:p w14:paraId="65F49C9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https://www.tbmm.gov.tr/komisyon/kefe/docs/sosyalsart.pdf.</w:t>
      </w:r>
    </w:p>
  </w:footnote>
  <w:footnote w:id="143">
    <w:p w14:paraId="7427991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 Sivil, s.6.</w:t>
      </w:r>
    </w:p>
  </w:footnote>
  <w:footnote w:id="144">
    <w:p w14:paraId="2E2880C3" w14:textId="77777777" w:rsidR="00936167" w:rsidRPr="00595617" w:rsidRDefault="00936167" w:rsidP="00595617">
      <w:pPr>
        <w:pStyle w:val="FootnoteTextYA"/>
        <w:ind w:right="0" w:hanging="567"/>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Parliamentary Assembly of the Council of Europe Resolution 1096 (1996) on measures to dismantle the heritage of former communist totalitarian systems and the respective Guidelines to ensure that lustration laws and similar administrative measures comply with the requirements of a State based on the rule of law (doc. 7568), 3 June 1996. http://privacy.cyber-rights.org.tr/wp-content/uploads/2017/06/K%C4%B1sa_Aciklama.docx.</w:t>
      </w:r>
    </w:p>
  </w:footnote>
  <w:footnote w:id="145">
    <w:p w14:paraId="62E09347" w14:textId="77777777" w:rsidR="00936167" w:rsidRPr="00595617" w:rsidRDefault="00936167" w:rsidP="00595617">
      <w:pPr>
        <w:pStyle w:val="ListeParagraf"/>
        <w:spacing w:after="0" w:line="240" w:lineRule="auto"/>
        <w:ind w:left="567" w:hanging="567"/>
        <w:jc w:val="both"/>
        <w:rPr>
          <w:rFonts w:ascii="Palatino Linotype" w:eastAsia="MS Mincho"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eastAsia="MS Mincho" w:hAnsi="Palatino Linotype" w:cstheme="minorHAnsi"/>
          <w:bCs/>
          <w:color w:val="000000" w:themeColor="text1"/>
          <w:sz w:val="18"/>
          <w:szCs w:val="18"/>
        </w:rPr>
        <w:t xml:space="preserve">AKPM Rehber İlkeleri, arındırma sürecinde şu hususlara riayet edilmesi gerektiğini belirtmektedir: </w:t>
      </w:r>
      <w:r w:rsidRPr="00595617">
        <w:rPr>
          <w:rFonts w:ascii="Palatino Linotype" w:eastAsia="MS Mincho" w:hAnsi="Palatino Linotype" w:cstheme="minorHAnsi"/>
          <w:color w:val="000000" w:themeColor="text1"/>
          <w:sz w:val="18"/>
          <w:szCs w:val="18"/>
        </w:rPr>
        <w:t xml:space="preserve">Demokratik bir hukuk devleti, adaletin sağlanması ve suçluların cezalandırılması için yeterli imkânlara sahiptir ve bu imkânlar, adalet yerine intikam duygusuna hizmet etmemelidir. Hukuk sistemi, temel insan hak ve özgürlüklerine saygı göstermeli ve bu hakları, bu kurallara riayet etmeyenlere bile tanımalıdır (P.4). Bu önlemler ancak belli ölçütlere uydukları takdirde demokratik bir devletle uyumlu olabilir. Birinci olarak, kolektif değil bireysel olan suç her bireysel vakada ayrıca kanıtlanmalıdır. İkinci olarak, savunma hakkı, masumiyet karinesi ve mahkemeye erişim hakkı garanti altına alınmalıdır. İntikam asla bu tedbirlerin amacı olmamalıdır (P.12). Bunların yanında şu hususlara da riayet edilmelidir: </w:t>
      </w:r>
      <w:r w:rsidRPr="00595617">
        <w:rPr>
          <w:rFonts w:ascii="Palatino Linotype" w:eastAsia="MS Mincho" w:hAnsi="Palatino Linotype" w:cstheme="minorHAnsi"/>
          <w:i/>
          <w:color w:val="000000" w:themeColor="text1"/>
          <w:sz w:val="18"/>
          <w:szCs w:val="18"/>
        </w:rPr>
        <w:t>“</w:t>
      </w:r>
      <w:r w:rsidRPr="00595617">
        <w:rPr>
          <w:rFonts w:ascii="Palatino Linotype" w:eastAsia="MS Mincho" w:hAnsi="Palatino Linotype" w:cstheme="minorHAnsi"/>
          <w:b/>
          <w:i/>
          <w:color w:val="000000" w:themeColor="text1"/>
          <w:sz w:val="18"/>
          <w:szCs w:val="18"/>
          <w:u w:val="single"/>
        </w:rPr>
        <w:t>a.</w:t>
      </w:r>
      <w:r w:rsidRPr="00595617">
        <w:rPr>
          <w:rFonts w:ascii="Palatino Linotype" w:eastAsia="MS Mincho" w:hAnsi="Palatino Linotype" w:cstheme="minorHAnsi"/>
          <w:b/>
          <w:i/>
          <w:color w:val="000000" w:themeColor="text1"/>
          <w:sz w:val="18"/>
          <w:szCs w:val="18"/>
        </w:rPr>
        <w:t xml:space="preserve"> </w:t>
      </w:r>
      <w:r w:rsidRPr="00595617">
        <w:rPr>
          <w:rFonts w:ascii="Palatino Linotype" w:eastAsia="MS Mincho" w:hAnsi="Palatino Linotype" w:cstheme="minorHAnsi"/>
          <w:i/>
          <w:color w:val="000000" w:themeColor="text1"/>
          <w:sz w:val="18"/>
          <w:szCs w:val="18"/>
        </w:rPr>
        <w:t xml:space="preserve">Arındırma özel kurulan bağımsız komisyonlar eliyle yürütülmelidir. </w:t>
      </w:r>
      <w:r w:rsidRPr="00595617">
        <w:rPr>
          <w:rFonts w:ascii="Palatino Linotype" w:eastAsia="MS Mincho" w:hAnsi="Palatino Linotype" w:cstheme="minorHAnsi"/>
          <w:b/>
          <w:i/>
          <w:color w:val="000000" w:themeColor="text1"/>
          <w:sz w:val="18"/>
          <w:szCs w:val="18"/>
          <w:u w:val="single"/>
        </w:rPr>
        <w:t>b.</w:t>
      </w:r>
      <w:r w:rsidRPr="00595617">
        <w:rPr>
          <w:rFonts w:ascii="Palatino Linotype" w:eastAsia="MS Mincho" w:hAnsi="Palatino Linotype" w:cstheme="minorHAnsi"/>
          <w:i/>
          <w:color w:val="000000" w:themeColor="text1"/>
          <w:sz w:val="18"/>
          <w:szCs w:val="18"/>
        </w:rPr>
        <w:t xml:space="preserve"> Arındırma önlemleri, sadece pozisyonunu insan hakları ihlali gerçekleştirmek veya demokratikleşme sürecini engellemek yoluyla kullanan kişinin demokratik düzene oluşturduğu ciddi tehdidi azaltmak için bu kişilere yönelik olarak kullanılabilir.</w:t>
      </w:r>
      <w:r w:rsidRPr="00595617">
        <w:rPr>
          <w:rFonts w:ascii="Palatino Linotype" w:eastAsia="MS Mincho" w:hAnsi="Palatino Linotype" w:cstheme="minorHAnsi"/>
          <w:b/>
          <w:i/>
          <w:color w:val="000000" w:themeColor="text1"/>
          <w:sz w:val="18"/>
          <w:szCs w:val="18"/>
        </w:rPr>
        <w:t xml:space="preserve"> </w:t>
      </w:r>
      <w:r w:rsidRPr="00595617">
        <w:rPr>
          <w:rFonts w:ascii="Palatino Linotype" w:eastAsia="MS Mincho" w:hAnsi="Palatino Linotype" w:cstheme="minorHAnsi"/>
          <w:b/>
          <w:i/>
          <w:color w:val="000000" w:themeColor="text1"/>
          <w:sz w:val="18"/>
          <w:szCs w:val="18"/>
          <w:u w:val="single"/>
        </w:rPr>
        <w:t>c.</w:t>
      </w:r>
      <w:r w:rsidRPr="00595617">
        <w:rPr>
          <w:rFonts w:ascii="Palatino Linotype" w:eastAsia="MS Mincho" w:hAnsi="Palatino Linotype" w:cstheme="minorHAnsi"/>
          <w:i/>
          <w:color w:val="000000" w:themeColor="text1"/>
          <w:sz w:val="18"/>
          <w:szCs w:val="18"/>
        </w:rPr>
        <w:t xml:space="preserve"> Arındırma; cezalandırma, ödetme veya intikam amaçlı kullanılamaz. Cezalandırma ceza usul kurallarına riayet edilerek ceza kanunlarına göre yapılabilir. </w:t>
      </w:r>
      <w:r w:rsidRPr="00595617">
        <w:rPr>
          <w:rFonts w:ascii="Palatino Linotype" w:eastAsia="MS Mincho" w:hAnsi="Palatino Linotype" w:cstheme="minorHAnsi"/>
          <w:b/>
          <w:i/>
          <w:color w:val="000000" w:themeColor="text1"/>
          <w:sz w:val="18"/>
          <w:szCs w:val="18"/>
          <w:u w:val="single"/>
        </w:rPr>
        <w:t>d.</w:t>
      </w:r>
      <w:r w:rsidRPr="00595617">
        <w:rPr>
          <w:rFonts w:ascii="Palatino Linotype" w:eastAsia="MS Mincho" w:hAnsi="Palatino Linotype" w:cstheme="minorHAnsi"/>
          <w:i/>
          <w:color w:val="000000" w:themeColor="text1"/>
          <w:sz w:val="18"/>
          <w:szCs w:val="18"/>
        </w:rPr>
        <w:t xml:space="preserve"> Arındırma sadece insan hakları ve demokrasi açısından ciddi tehlike oluşturduğuna dair iyi gerekçeler bulunan, yani iç güvenliğe ilişkin hükümet politika ve uygulamaları yapan ve uygulayan kişilerle insan hakları ihlallerinin emrinin verildiği ve/veya işlendiği kolluk, güvenlik, istihbarat ve yargı gibi kurumlarda, uygulanmalıdır. </w:t>
      </w:r>
      <w:r w:rsidRPr="00595617">
        <w:rPr>
          <w:rFonts w:ascii="Palatino Linotype" w:eastAsia="MS Mincho" w:hAnsi="Palatino Linotype" w:cstheme="minorHAnsi"/>
          <w:b/>
          <w:i/>
          <w:color w:val="000000" w:themeColor="text1"/>
          <w:sz w:val="18"/>
          <w:szCs w:val="18"/>
          <w:u w:val="single"/>
        </w:rPr>
        <w:t>g.</w:t>
      </w:r>
      <w:r w:rsidRPr="00595617">
        <w:rPr>
          <w:rFonts w:ascii="Palatino Linotype" w:eastAsia="MS Mincho" w:hAnsi="Palatino Linotype" w:cstheme="minorHAnsi"/>
          <w:i/>
          <w:color w:val="000000" w:themeColor="text1"/>
          <w:sz w:val="18"/>
          <w:szCs w:val="18"/>
        </w:rPr>
        <w:t xml:space="preserve"> Arındırma nedeniyle hizmetten çıkarma, kişinin kişisel tutumu ve alışkanlıklarındaki değişikliklerin dikkate alınması gerektiği için, 5 yıldan fazla sürmemelidir. </w:t>
      </w:r>
      <w:r w:rsidRPr="00595617">
        <w:rPr>
          <w:rFonts w:ascii="Palatino Linotype" w:eastAsia="MS Mincho" w:hAnsi="Palatino Linotype" w:cstheme="minorHAnsi"/>
          <w:b/>
          <w:i/>
          <w:color w:val="000000" w:themeColor="text1"/>
          <w:sz w:val="18"/>
          <w:szCs w:val="18"/>
          <w:u w:val="single"/>
        </w:rPr>
        <w:t>m.</w:t>
      </w:r>
      <w:r w:rsidRPr="00595617">
        <w:rPr>
          <w:rFonts w:ascii="Palatino Linotype" w:eastAsia="MS Mincho" w:hAnsi="Palatino Linotype" w:cstheme="minorHAnsi"/>
          <w:i/>
          <w:color w:val="000000" w:themeColor="text1"/>
          <w:sz w:val="18"/>
          <w:szCs w:val="18"/>
        </w:rPr>
        <w:t xml:space="preserve"> Hiçbir şekilde bir kişi, avukata erişim hakkı (kişinin durumunun elvermediği durumlarda adli yardımla), kendisi aleyhine sunulan delillere karşı çıkma hakkı, tüm suçlayıcı delillere ulaşma hakkı, kendi delillerini sunma hakkı, kendi istediği takdirde açık yargılanma hakkı ve tarafsız bir mahkemeye başvurma hakkı dahil olmak ve bunlarla kısıtlı olmamak üzere tüm adil yargılanma güvencelerinden yararlandırılmadan arındırma sürecine tabi kılınmamalıdır.”</w:t>
      </w:r>
      <w:r w:rsidRPr="00595617">
        <w:rPr>
          <w:rFonts w:ascii="Palatino Linotype" w:hAnsi="Palatino Linotype" w:cstheme="minorHAnsi"/>
          <w:color w:val="000000" w:themeColor="text1"/>
          <w:sz w:val="18"/>
          <w:szCs w:val="18"/>
        </w:rPr>
        <w:t xml:space="preserve"> </w:t>
      </w:r>
      <w:r w:rsidRPr="00595617">
        <w:rPr>
          <w:rFonts w:ascii="Palatino Linotype" w:eastAsia="MS Mincho" w:hAnsi="Palatino Linotype" w:cstheme="minorHAnsi"/>
          <w:color w:val="000000" w:themeColor="text1"/>
          <w:sz w:val="18"/>
          <w:szCs w:val="18"/>
        </w:rPr>
        <w:t>http://privacy.cyber-rights.org.tr/wp-content/uploads/2017/06/K%C4%B1sa_Aciklama.docx.</w:t>
      </w:r>
    </w:p>
  </w:footnote>
  <w:footnote w:id="146">
    <w:p w14:paraId="5C7EEDD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Adamsons/Letonya Kararı, B.No: 3669/03, 24/6/2008, P.125; ALTIPARMAK, Sivil, s.6.</w:t>
      </w:r>
    </w:p>
  </w:footnote>
  <w:footnote w:id="147">
    <w:p w14:paraId="0C777C9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Soro/ Estona Kararı, B.No: 22588/08, 03/9/2015; Zickus/Litvanya Kararı, B.No: 22652/02, 07/4/2009, P.33; ALTIPARMAK, Sivil, s.6.</w:t>
      </w:r>
    </w:p>
  </w:footnote>
  <w:footnote w:id="148">
    <w:p w14:paraId="5EF48A9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Ivanovski/Makedonya Kararı,  P.117 vd.; ALTIPARMAK, Sivil, s.6.</w:t>
      </w:r>
    </w:p>
  </w:footnote>
  <w:footnote w:id="149">
    <w:p w14:paraId="6676CBB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ALTIPARMAK/AKDENİZ, Komisyon, s.10; Venedik, s.445-446.</w:t>
      </w:r>
    </w:p>
  </w:footnote>
  <w:footnote w:id="150">
    <w:p w14:paraId="76719F57"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 Sivil, s.6.</w:t>
      </w:r>
    </w:p>
  </w:footnote>
  <w:footnote w:id="151">
    <w:p w14:paraId="7FFABC78"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Venedik, s.448 vd.</w:t>
      </w:r>
    </w:p>
  </w:footnote>
  <w:footnote w:id="152">
    <w:p w14:paraId="511D4F2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t xml:space="preserve"> V</w:t>
      </w:r>
      <w:r w:rsidRPr="00595617">
        <w:rPr>
          <w:rFonts w:ascii="Palatino Linotype" w:hAnsi="Palatino Linotype" w:cstheme="minorHAnsi"/>
          <w:color w:val="000000" w:themeColor="text1"/>
          <w:sz w:val="18"/>
          <w:szCs w:val="18"/>
        </w:rPr>
        <w:t xml:space="preserve">enedik Komisyonu konuyla ilgili olarak şöyle demiştir; </w:t>
      </w:r>
      <w:r w:rsidRPr="00595617">
        <w:rPr>
          <w:rFonts w:ascii="Palatino Linotype" w:hAnsi="Palatino Linotype" w:cstheme="minorHAnsi"/>
          <w:i/>
          <w:color w:val="000000" w:themeColor="text1"/>
          <w:sz w:val="18"/>
          <w:szCs w:val="18"/>
        </w:rPr>
        <w:t>"Komisyon, Gülen ağına bağlı veya diğer örgütlerin iddia edilen bağlantıları nedeniyle "terörist" olarak tanımlandığının farkındadır. Ancak bağlantının içeriği çok zayıf şekilde tanımlanmıştır ve bu örgütle anlamlı bir bağlantı gerektirmemektedir ki bu da kamu görevlilerinin sadakati konusunda şüpheye neden olur. Venedik Komisyonu, Gülen ağının başarısız darbe girişiminde yer aldığını varsaysa bile, bu ağ ile bağı olanlara yönelik cezai ve disiplin cezasına uzanmaması gerektiğini vurgulamıştır.", "OHAL Tedbirleri Anayasa'ya Aykırı!"</w:t>
      </w:r>
      <w:r w:rsidRPr="00595617">
        <w:rPr>
          <w:rFonts w:ascii="Palatino Linotype" w:hAnsi="Palatino Linotype" w:cstheme="minorHAnsi"/>
          <w:color w:val="000000" w:themeColor="text1"/>
          <w:sz w:val="18"/>
          <w:szCs w:val="18"/>
        </w:rPr>
        <w:t>,  Cumhuriyet Gazetesi, 10/12/2016, s.5; Ayrıca, Avrupa Konseyi Genel Sekreteri'nin talebi üzerine Avrupalı Hâkimler Danışma Kurulu (CCJE) tarafından hazırlanan raporda da; darbe teşebbüsü sonrası ilan edilen OHAL kapsamında 4000'den fazla hâkim ve savcının meslekten çıkarıldığı, meslekten çıkarma kararlarının; adil bir yargılama sonucu verilmediği gibi, bireyselleştirilerek de uygulanmadığı ve yargısal bir kararın temel gerekliliklerini taşımadığı (P.93), ihraçların usul ve yasaya, hâkimlik teminatına ve diğer hâkimlerin bağımsızlığı ilkesine uygun kabul edilebilmesi için, sadece darbeye karıştıkları yönünde somut delil bulunan kişilerle sınırlı uygulanması gerektiği, zira hâkimlerin görevlerinden alınamamasının yargısal bağımsızlığın esaslı bir unsuru olduğu belirtilmiştir (P.88). https;//www.iaj-uim.org/iuw/wp-content/uploads/2018/02/CCJE-BU201711E_07_02_2018.docx.pdf.</w:t>
      </w:r>
    </w:p>
  </w:footnote>
  <w:footnote w:id="153">
    <w:p w14:paraId="6C71E22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Sidabras ve Dziautas/Litvanya Kararı, P.59; ALTIPARMAK, Sivil, s.6.</w:t>
      </w:r>
    </w:p>
  </w:footnote>
  <w:footnote w:id="154">
    <w:p w14:paraId="67FEF13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Naidin/Romanya Kararı, B.No: 38162/07, 21/10/2014, P.54; ALTIPARMAK, Sivil, s.6.</w:t>
      </w:r>
    </w:p>
  </w:footnote>
  <w:footnote w:id="155">
    <w:p w14:paraId="3A78205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AYM'nin 25/02/2010 T., 2008/17 E., 2010/44 K. sayılı kararı.</w:t>
      </w:r>
    </w:p>
  </w:footnote>
  <w:footnote w:id="156">
    <w:p w14:paraId="2D7DC29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 Sivil, s.7.</w:t>
      </w:r>
    </w:p>
  </w:footnote>
  <w:footnote w:id="157">
    <w:p w14:paraId="4C9FB110" w14:textId="77777777" w:rsidR="00936167" w:rsidRPr="00595617" w:rsidRDefault="00936167" w:rsidP="00595617">
      <w:pPr>
        <w:pStyle w:val="DipnotMetni"/>
        <w:tabs>
          <w:tab w:val="left" w:pos="426"/>
        </w:tabs>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b/>
        <w:t>AİHM'in Adamsons/Letonya Kararı, P.116.</w:t>
      </w:r>
    </w:p>
  </w:footnote>
  <w:footnote w:id="158">
    <w:p w14:paraId="25589D36"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Danıştay'da 53. maddenin uygulanmasıyla ilgili verdiği bir kararında; </w:t>
      </w:r>
      <w:r w:rsidRPr="00595617">
        <w:rPr>
          <w:rFonts w:ascii="Palatino Linotype" w:hAnsi="Palatino Linotype" w:cstheme="minorHAnsi"/>
          <w:i/>
          <w:color w:val="000000" w:themeColor="text1"/>
          <w:sz w:val="18"/>
          <w:szCs w:val="18"/>
        </w:rPr>
        <w:t>"…5237 sayılı Kanunda memnu hakların iadesine imkân veren hukuki yola yer verilmemekle birlikte, 765 sayılı Kanun süresiz olarak mahkûmiyete bağlı hak yoksunluğunu düzenlediği halde memnu hakların iadesi gibi bir düzenlemeye yer vererek kişilerin süresiz şekilde hak yoksunluğuna mahkûm olmamalarını sağladığı, 5237 sayılı Kanunun ise, mahkûmiyete bağlı hak yoksunluklarını belli sürelerle sınırlayarak, bu yoksunluğun kişinin hayatının sonuna kadar devam etmesine engel olduğu, hak yoksunluğu sona erince de kişinin toplumun diğer bireyleri gibi kanunlar çerçevesinde haklarını kullanabilmesine imkân tanıdığı görülmektedir. Bu durumda, Devlet memuru iken 657 sayılı Kanunun 48 inci maddesinde sayılan suçların herhangi birinden mahkûm olan ve bu mahkûmiyete bağlı olarak belli hakları kullanmaktan yasaklanan, söz konusu mahkûmiyeti nedeniyle memuriyeti sona eren kişiler ile Devlet memurluğuna atanmadan önce söz konusu suçların herhangi birinden mahkûm olan ve bu mahkûmiyete bağlı olarak belli hakları kullanmaktan yasaklanan, bu mahkûmiyeti nedeniyle Devlet memurluğuna atanma şartlarını taşımayan kişilerin, hak yoksunlukları sona ererek yasaklanan haklarını yeniden kazanmaları durumunda, Devlet memurluğuna atanmalarının mümkün olduğu"</w:t>
      </w:r>
      <w:r w:rsidRPr="00595617">
        <w:rPr>
          <w:rFonts w:ascii="Palatino Linotype" w:hAnsi="Palatino Linotype" w:cstheme="minorHAnsi"/>
          <w:color w:val="000000" w:themeColor="text1"/>
          <w:sz w:val="18"/>
          <w:szCs w:val="18"/>
        </w:rPr>
        <w:t xml:space="preserve"> nu belirtmiştir.</w:t>
      </w:r>
      <w:r w:rsidRPr="00595617">
        <w:rPr>
          <w:rFonts w:ascii="Palatino Linotype" w:hAnsi="Palatino Linotype" w:cstheme="minorHAnsi"/>
          <w:color w:val="000000" w:themeColor="text1"/>
          <w:sz w:val="18"/>
          <w:szCs w:val="18"/>
          <w:shd w:val="clear" w:color="auto" w:fill="FFFFFF"/>
        </w:rPr>
        <w:t xml:space="preserve"> Danıştay 1. Dairesinin 13/3/2006 T., 2005/1290 E., 2006/298 K. sayılı kararı. </w:t>
      </w:r>
    </w:p>
    <w:p w14:paraId="5393F7C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Fonts w:ascii="Palatino Linotype" w:hAnsi="Palatino Linotype" w:cstheme="minorHAnsi"/>
          <w:color w:val="000000" w:themeColor="text1"/>
          <w:sz w:val="18"/>
          <w:szCs w:val="18"/>
        </w:rPr>
        <w:t xml:space="preserve"> </w:t>
      </w:r>
    </w:p>
  </w:footnote>
  <w:footnote w:id="159">
    <w:p w14:paraId="6E94B0D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eastAsia="Times New Roman" w:hAnsi="Palatino Linotype" w:cstheme="minorHAnsi"/>
          <w:color w:val="000000" w:themeColor="text1"/>
          <w:sz w:val="18"/>
          <w:szCs w:val="18"/>
        </w:rPr>
        <w:t xml:space="preserve">Danıştay İçtihadı Birleştirme Genel Kurulunun 07.12.1989 T., </w:t>
      </w:r>
      <w:r w:rsidRPr="00595617">
        <w:rPr>
          <w:rFonts w:ascii="Palatino Linotype" w:eastAsia="Times New Roman" w:hAnsi="Palatino Linotype" w:cstheme="minorHAnsi"/>
          <w:bCs/>
          <w:color w:val="000000" w:themeColor="text1"/>
          <w:sz w:val="18"/>
          <w:szCs w:val="18"/>
        </w:rPr>
        <w:t>1988/6 E., 1989/4 K. sayılı kararı.</w:t>
      </w:r>
    </w:p>
  </w:footnote>
  <w:footnote w:id="160">
    <w:p w14:paraId="5950AFAC" w14:textId="08D2A15F"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006A680F" w:rsidRPr="00595617">
        <w:rPr>
          <w:rFonts w:ascii="Palatino Linotype" w:hAnsi="Palatino Linotype" w:cstheme="minorHAnsi"/>
          <w:sz w:val="18"/>
          <w:szCs w:val="18"/>
        </w:rPr>
        <w:tab/>
        <w:t xml:space="preserve">SEVDİREN Öznur, </w:t>
      </w:r>
      <w:r w:rsidR="006A680F" w:rsidRPr="00595617">
        <w:rPr>
          <w:rFonts w:ascii="Palatino Linotype" w:hAnsi="Palatino Linotype" w:cstheme="minorHAnsi"/>
          <w:i/>
          <w:sz w:val="18"/>
          <w:szCs w:val="18"/>
        </w:rPr>
        <w:t>“Olağanüstü Hal Hukukunda Müebbet Kamu Görevinden İhraç Yaptırımının Cezai Niteliği”</w:t>
      </w:r>
      <w:r w:rsidR="006A680F" w:rsidRPr="00595617">
        <w:rPr>
          <w:rFonts w:ascii="Palatino Linotype" w:hAnsi="Palatino Linotype" w:cstheme="minorHAnsi"/>
          <w:sz w:val="18"/>
          <w:szCs w:val="18"/>
        </w:rPr>
        <w:t>, Suç ve Ceza, Ceza Hukuku Dergisi, Yıl: 2018, Sayı: 2, İstanbul, 2018</w:t>
      </w:r>
      <w:r w:rsidRPr="00595617">
        <w:rPr>
          <w:rFonts w:ascii="Palatino Linotype" w:hAnsi="Palatino Linotype" w:cstheme="minorHAnsi"/>
          <w:color w:val="000000" w:themeColor="text1"/>
          <w:sz w:val="18"/>
          <w:szCs w:val="18"/>
        </w:rPr>
        <w:t>, s.128; ALTIPARMAK, Sivil, s.7.</w:t>
      </w:r>
    </w:p>
  </w:footnote>
  <w:footnote w:id="161">
    <w:p w14:paraId="077040A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27/7/2016 tarihli ve 29783 sayılı Resmi Gazete.</w:t>
      </w:r>
    </w:p>
  </w:footnote>
  <w:footnote w:id="162">
    <w:p w14:paraId="786D71C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 xml:space="preserve">"Avukatlık mesleği ile ilgili bir düzenleme yapılırken bu mesleğin her şeyden önce bir serbest meslek olduğu gözden uzak tutulmamalıdır. Avukatlık bir kamu hizmeti addedilmiş olsa dahi, kamusal yönü çok yoğun olan Devlet memuriyeti görev ve hizmetleriyle aynı nitelikte görülüp aynı ölçütlere tabi kılınamaz" </w:t>
      </w:r>
      <w:r w:rsidRPr="00595617">
        <w:rPr>
          <w:rFonts w:ascii="Palatino Linotype" w:hAnsi="Palatino Linotype" w:cstheme="minorHAnsi"/>
          <w:color w:val="000000" w:themeColor="text1"/>
          <w:sz w:val="18"/>
          <w:szCs w:val="18"/>
        </w:rPr>
        <w:t xml:space="preserve">AYM'nin 01/3/1985 T., 1984/12 E., 1985/6 K. sayılı kararı; </w:t>
      </w:r>
      <w:r w:rsidRPr="00595617">
        <w:rPr>
          <w:rFonts w:ascii="Palatino Linotype" w:hAnsi="Palatino Linotype" w:cstheme="minorHAnsi"/>
          <w:i/>
          <w:color w:val="000000" w:themeColor="text1"/>
          <w:sz w:val="18"/>
          <w:szCs w:val="18"/>
        </w:rPr>
        <w:t>"…Anayasa'nın 70. maddesinde, "Her Türk, kamu hizmetlerine girme hakkına sahiptir. Hizmete alınmada, görevin gerektirdiği niteliklerden başka hiçbir ayırım gözetilemez." denilmektedir. Bu madde ile güvence altına alınan kamu hizmetine girme hakkı idare hukuku esaslarına göre devlet memuriyetine girme hakkını ifade etmektedir. Serbest meslek olan avukatlık bu anlamda bir kamu hizmeti değildir. Her ne kadar Avukatlık Yasası'nın 1. maddesi, avukatlığın kamu hizmeti olduğuna işaret ediyor ise de, yasa koyucunun herhangi bir serbest meslek faaliyetini kamu hizmeti olarak tanımlaması onun Anayasa'nın 70. maddesi anlamında bir kamu hizmeti olduğunu göstermez."</w:t>
      </w:r>
      <w:r w:rsidRPr="00595617">
        <w:rPr>
          <w:rFonts w:ascii="Palatino Linotype" w:hAnsi="Palatino Linotype" w:cstheme="minorHAnsi"/>
          <w:color w:val="000000" w:themeColor="text1"/>
          <w:sz w:val="18"/>
          <w:szCs w:val="18"/>
        </w:rPr>
        <w:t xml:space="preserve"> AYM'nin 04/6/2003 T., 2002/8 E., 2003/47 K. sayılı kararı</w:t>
      </w:r>
    </w:p>
  </w:footnote>
  <w:footnote w:id="163">
    <w:p w14:paraId="19B3C095"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 xml:space="preserve">"…avukatlık, sunulan hizmet açısından bir kamu hizmeti; mesleki faaliyet olarak ise bir serbest meslektir. Bu bakımdan; mesleğin kendine özgü kuralları bulunduğundan, avukatlar Anayasada yapılan kamu görevlisi tanımı içinde değerlendirilmemektedir." </w:t>
      </w:r>
      <w:r w:rsidRPr="00595617">
        <w:rPr>
          <w:rFonts w:ascii="Palatino Linotype" w:hAnsi="Palatino Linotype" w:cstheme="minorHAnsi"/>
          <w:color w:val="000000" w:themeColor="text1"/>
          <w:sz w:val="18"/>
          <w:szCs w:val="18"/>
        </w:rPr>
        <w:t>Danıştay 8. Dairesinin, 16/7/2013 T., 2012/11333 E. sayılı dosyası.</w:t>
      </w:r>
    </w:p>
  </w:footnote>
  <w:footnote w:id="164">
    <w:p w14:paraId="1FEFD86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Yargı mensuplarıyla ilgili böyle bir uygulama olsa da, OHAL KHK'leri ile mesleklerinden çıkarılan </w:t>
      </w:r>
      <w:r w:rsidRPr="00595617">
        <w:rPr>
          <w:rFonts w:ascii="Palatino Linotype" w:hAnsi="Palatino Linotype" w:cstheme="minorHAnsi"/>
          <w:color w:val="000000" w:themeColor="text1"/>
          <w:sz w:val="18"/>
          <w:szCs w:val="18"/>
          <w:shd w:val="clear" w:color="auto" w:fill="FFFFFF"/>
        </w:rPr>
        <w:t xml:space="preserve">İbrahim Özden Kaboğlu, Nazır Cihangir İslam, Zekai Temelli, Erol Katırcıoğlu ve Ömer Faruk Gergerlioğlu 24/6/2018 tarihinde yapılan genel seçimde milletvekili seçilmişlerdir. </w:t>
      </w:r>
      <w:r w:rsidRPr="00595617">
        <w:rPr>
          <w:rFonts w:ascii="Palatino Linotype" w:hAnsi="Palatino Linotype" w:cstheme="minorHAnsi"/>
          <w:color w:val="000000" w:themeColor="text1"/>
          <w:sz w:val="18"/>
          <w:szCs w:val="18"/>
        </w:rPr>
        <w:t xml:space="preserve">https://www.evrensel.net/haber/355617/khk-ile-ihrac-edilen-adaylardan-5i-milletvekili-secildi. </w:t>
      </w:r>
      <w:r w:rsidRPr="00595617">
        <w:rPr>
          <w:rFonts w:ascii="Palatino Linotype" w:hAnsi="Palatino Linotype" w:cstheme="minorHAnsi"/>
          <w:color w:val="000000" w:themeColor="text1"/>
          <w:sz w:val="18"/>
          <w:szCs w:val="18"/>
          <w:shd w:val="clear" w:color="auto" w:fill="FFFFFF"/>
        </w:rPr>
        <w:t xml:space="preserve">Benzer bir durum 1980 darbesinden sonra yaşanmış ve </w:t>
      </w:r>
      <w:r w:rsidRPr="00595617">
        <w:rPr>
          <w:rFonts w:ascii="Palatino Linotype" w:eastAsia="Times New Roman" w:hAnsi="Palatino Linotype" w:cstheme="minorHAnsi"/>
          <w:color w:val="000000" w:themeColor="text1"/>
          <w:sz w:val="18"/>
          <w:szCs w:val="18"/>
        </w:rPr>
        <w:t xml:space="preserve">1402 sayılı Sıkıyönetim Kanunu'nun 2. maddesine, 2301 sayılı Kanun'un 1. maddesiyle eklenen fıkra ile sıkıyönetim komutanlarının isteği üzerine işlerine son verilen memurların, diğer kamu görevlileri ve kamu hizmetlerinde görevli işçilerin bir daha kamu hizmetlerinde çalıştırılamayacakları kurala bağlanmıştır. Yapılan düzenlemeden sonra bazı kişiler milletvekili seçilmişler ve konuyla ilgili Danıştay İçtihadı Birleştirme Genel Kurulu verdiği kararında, getirilen yasağın sadece sıkıyönetim döneminde geçerli olduğunu, yasağın kalkmasından sonra işlerine son verilen kişilerin görevlerine iade edilmeleri gerektiğini ve bu düzenleme yapıldıktan sonra kabul edilen seçim yasalarının, her biri geniş anlamda birer kamu hizmeti niteliği taşıyan görevlere seçilmeye engel görmediği bir hukuki durumun, diğer kamu görevlileri için de aynı sınırlar içinde yorumlanması gerektiğini belirtmiştir. Danıştay İçtihadı Birleştirme Genel Kurulunun 07.12.1989 T., </w:t>
      </w:r>
      <w:r w:rsidRPr="00595617">
        <w:rPr>
          <w:rFonts w:ascii="Palatino Linotype" w:eastAsia="Times New Roman" w:hAnsi="Palatino Linotype" w:cstheme="minorHAnsi"/>
          <w:bCs/>
          <w:color w:val="000000" w:themeColor="text1"/>
          <w:sz w:val="18"/>
          <w:szCs w:val="18"/>
        </w:rPr>
        <w:t>1988/6 E., 1989/4 K. sayılı kararı.</w:t>
      </w:r>
    </w:p>
  </w:footnote>
  <w:footnote w:id="165">
    <w:p w14:paraId="4F4D3A03"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Soro/Estonya Kararı, ALTIPARMAK, Sivil, s.7.</w:t>
      </w:r>
    </w:p>
  </w:footnote>
  <w:footnote w:id="166">
    <w:p w14:paraId="60B75C1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ALTIPARMAK, Sivil, s.7.</w:t>
      </w:r>
    </w:p>
  </w:footnote>
  <w:footnote w:id="167">
    <w:p w14:paraId="7554670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Rotaru/Romanya Büyük Daire Kararı, B.No: 23841/95, 04/5/2000, P.43-44; Segerstedt-Wiberg ve Diğerleri/İsveç Kararı, P.72; Cemalettin Canlı/Türkiye Kararı, P.43.</w:t>
      </w:r>
    </w:p>
  </w:footnote>
  <w:footnote w:id="168">
    <w:p w14:paraId="420213E5"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http://www.sabah.com.tr/webtv/turkiye/hsyk-baskanvekili-mehmet-yilmazdan-carpici-aciklamalar</w:t>
      </w:r>
      <w:r w:rsidRPr="00595617">
        <w:rPr>
          <w:rFonts w:ascii="Palatino Linotype" w:hAnsi="Palatino Linotype" w:cstheme="minorHAnsi"/>
          <w:i/>
          <w:color w:val="000000" w:themeColor="text1"/>
          <w:sz w:val="18"/>
          <w:szCs w:val="18"/>
        </w:rPr>
        <w:t xml:space="preserve">. </w:t>
      </w:r>
    </w:p>
  </w:footnote>
  <w:footnote w:id="169">
    <w:p w14:paraId="64C21E9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Rotaru/Romanya Büyük Daire Kararı, P.46; Özpınar/Türkiye Kararı, P.47.</w:t>
      </w:r>
    </w:p>
  </w:footnote>
  <w:footnote w:id="170">
    <w:p w14:paraId="061D78DB" w14:textId="10CD0A35"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006A680F" w:rsidRPr="00595617">
        <w:rPr>
          <w:rFonts w:ascii="Palatino Linotype" w:hAnsi="Palatino Linotype" w:cstheme="minorHAnsi"/>
          <w:color w:val="000000" w:themeColor="text1"/>
          <w:sz w:val="18"/>
          <w:szCs w:val="18"/>
        </w:rPr>
        <w:t xml:space="preserve"> </w:t>
      </w:r>
      <w:r w:rsidR="006A680F" w:rsidRPr="00595617">
        <w:rPr>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https://t24.com.tr/haber/hsyk-2-daire-baskani-elimizdeki-feto-listesi-bir-gecede-yapilmadi-3-yildir-calisiyorduk,360895</w:t>
      </w:r>
    </w:p>
  </w:footnote>
  <w:footnote w:id="171">
    <w:p w14:paraId="33B21ACA" w14:textId="77777777" w:rsidR="00936167" w:rsidRPr="00595617" w:rsidRDefault="00936167" w:rsidP="00595617">
      <w:pPr>
        <w:pStyle w:val="Balk1"/>
        <w:shd w:val="clear" w:color="auto" w:fill="FFFFFF"/>
        <w:spacing w:before="0" w:after="0" w:line="240" w:lineRule="auto"/>
        <w:ind w:hanging="567"/>
        <w:textAlignment w:val="baseline"/>
        <w:rPr>
          <w:rFonts w:cstheme="minorHAnsi"/>
          <w:b w:val="0"/>
          <w:sz w:val="18"/>
          <w:szCs w:val="18"/>
        </w:rPr>
      </w:pPr>
      <w:r w:rsidRPr="00595617">
        <w:rPr>
          <w:rStyle w:val="DipnotBavurusu"/>
          <w:rFonts w:cstheme="minorHAnsi"/>
          <w:b w:val="0"/>
          <w:sz w:val="18"/>
          <w:szCs w:val="18"/>
          <w:vertAlign w:val="baseline"/>
        </w:rPr>
        <w:footnoteRef/>
      </w:r>
      <w:r w:rsidRPr="00595617">
        <w:rPr>
          <w:rFonts w:cstheme="minorHAnsi"/>
          <w:b w:val="0"/>
          <w:sz w:val="18"/>
          <w:szCs w:val="18"/>
        </w:rPr>
        <w:t xml:space="preserve"> </w:t>
      </w:r>
      <w:r w:rsidRPr="00595617">
        <w:rPr>
          <w:rFonts w:cstheme="minorHAnsi"/>
          <w:b w:val="0"/>
          <w:sz w:val="18"/>
          <w:szCs w:val="18"/>
        </w:rPr>
        <w:tab/>
        <w:t>ARSEVEN Serdar, "</w:t>
      </w:r>
      <w:r w:rsidRPr="00595617">
        <w:rPr>
          <w:rFonts w:cstheme="minorHAnsi"/>
          <w:b w:val="0"/>
          <w:i/>
          <w:sz w:val="18"/>
          <w:szCs w:val="18"/>
        </w:rPr>
        <w:t>Yargıyı FETÖ’den Temizleyeceğiz"</w:t>
      </w:r>
      <w:r w:rsidRPr="00595617">
        <w:rPr>
          <w:rFonts w:cstheme="minorHAnsi"/>
          <w:b w:val="0"/>
          <w:sz w:val="18"/>
          <w:szCs w:val="18"/>
        </w:rPr>
        <w:t>, https://www.yeniakit.com.tr/haber/yargiyi-fetoden-temizleyecegiz-197952.html.</w:t>
      </w:r>
    </w:p>
  </w:footnote>
  <w:footnote w:id="172">
    <w:p w14:paraId="52BA77D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http://cumhuriyet.com.tr/haber/turkiye/604177/HSYK-ihraclarin-neden-darbeyi-bekledigini-acikladi-html.</w:t>
      </w:r>
    </w:p>
  </w:footnote>
  <w:footnote w:id="173">
    <w:p w14:paraId="56939538"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http://www.sabah.com.tr/webtv/turkiye/hsyk-baskanvekili-mehmet-yilmazdan-carpici-aciklamalar</w:t>
      </w:r>
      <w:r w:rsidRPr="00595617">
        <w:rPr>
          <w:rFonts w:ascii="Palatino Linotype" w:hAnsi="Palatino Linotype" w:cstheme="minorHAnsi"/>
          <w:i/>
          <w:color w:val="000000" w:themeColor="text1"/>
          <w:sz w:val="18"/>
          <w:szCs w:val="18"/>
        </w:rPr>
        <w:t xml:space="preserve">. </w:t>
      </w:r>
    </w:p>
  </w:footnote>
  <w:footnote w:id="174">
    <w:p w14:paraId="76D06EB1"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ÇAKIR Elif, "</w:t>
      </w:r>
      <w:r w:rsidRPr="00595617">
        <w:rPr>
          <w:rFonts w:ascii="Palatino Linotype" w:hAnsi="Palatino Linotype" w:cstheme="minorHAnsi"/>
          <w:i/>
          <w:color w:val="000000" w:themeColor="text1"/>
          <w:sz w:val="18"/>
          <w:szCs w:val="18"/>
        </w:rPr>
        <w:t>Yargı Camiasının Vicdanını Rahatsız Eden Gözaltı"</w:t>
      </w:r>
      <w:r w:rsidRPr="00595617">
        <w:rPr>
          <w:rFonts w:ascii="Palatino Linotype" w:hAnsi="Palatino Linotype" w:cstheme="minorHAnsi"/>
          <w:color w:val="000000" w:themeColor="text1"/>
          <w:sz w:val="18"/>
          <w:szCs w:val="18"/>
        </w:rPr>
        <w:t>, http://www.karar.com/yazarlar/elif-cakir/yargi-camiasinin-vicdanini-rahatsiz-eden-gozalti-4235.</w:t>
      </w:r>
    </w:p>
  </w:footnote>
  <w:footnote w:id="175">
    <w:p w14:paraId="353364F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http://www.hurriyet.com.tr/gundem/5-bin-hakim-savci-tespit-ettik-40064585.</w:t>
      </w:r>
    </w:p>
  </w:footnote>
  <w:footnote w:id="176">
    <w:p w14:paraId="0FB59B3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ÖNKİBAR Sabahattin, </w:t>
      </w:r>
      <w:r w:rsidRPr="00595617">
        <w:rPr>
          <w:rFonts w:ascii="Palatino Linotype" w:hAnsi="Palatino Linotype" w:cstheme="minorHAnsi"/>
          <w:i/>
          <w:color w:val="000000" w:themeColor="text1"/>
          <w:sz w:val="18"/>
          <w:szCs w:val="18"/>
        </w:rPr>
        <w:t>"Yüzlerce FETÖ'cü Yargıdan Kovuluyor"</w:t>
      </w:r>
      <w:r w:rsidRPr="00595617">
        <w:rPr>
          <w:rFonts w:ascii="Palatino Linotype" w:hAnsi="Palatino Linotype" w:cstheme="minorHAnsi"/>
          <w:color w:val="000000" w:themeColor="text1"/>
          <w:sz w:val="18"/>
          <w:szCs w:val="18"/>
        </w:rPr>
        <w:t>, Aydınlık Gazetesi, 10/5/2016.</w:t>
      </w:r>
    </w:p>
  </w:footnote>
  <w:footnote w:id="177">
    <w:p w14:paraId="4510895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Başkanvekili Mehmet Yılmaz</w:t>
      </w:r>
      <w:r w:rsidRPr="00595617">
        <w:rPr>
          <w:rFonts w:ascii="Palatino Linotype" w:hAnsi="Palatino Linotype" w:cstheme="minorHAnsi"/>
          <w:color w:val="000000" w:themeColor="text1"/>
          <w:sz w:val="18"/>
          <w:szCs w:val="18"/>
          <w:shd w:val="clear" w:color="auto" w:fill="FFFFFF"/>
        </w:rPr>
        <w:t xml:space="preserve">, HSK'nın 5 Mayıs 2017 tarihinde 107 hâkim ve savcıyı ihracının ardından yatığı açıklamada, ihraç edilenlerin önceden hazırlanmış listelerde yer alan kişiler olduğunu şu ifadelerle itiraf etmiştir; </w:t>
      </w:r>
      <w:r w:rsidRPr="00595617">
        <w:rPr>
          <w:rFonts w:ascii="Palatino Linotype" w:hAnsi="Palatino Linotype" w:cstheme="minorHAnsi"/>
          <w:i/>
          <w:color w:val="000000" w:themeColor="text1"/>
          <w:sz w:val="18"/>
          <w:szCs w:val="18"/>
          <w:shd w:val="clear" w:color="auto" w:fill="FFFFFF"/>
        </w:rPr>
        <w:t>"bu, listeler halinde yapılan son ihraç. Bundan sonra itiraflarla yeni isimler geldikçe bizden sonraki Kurul da durumu değerlendirecektir ama var olan liste üzerindeki çalışmalar sona erdi. Üzerinde çalıştığımız bir liste kalmadı."</w:t>
      </w:r>
      <w:r w:rsidRPr="00595617">
        <w:rPr>
          <w:rFonts w:ascii="Palatino Linotype" w:hAnsi="Palatino Linotype" w:cstheme="minorHAnsi"/>
          <w:color w:val="000000" w:themeColor="text1"/>
          <w:sz w:val="18"/>
          <w:szCs w:val="18"/>
          <w:shd w:val="clear" w:color="auto" w:fill="FFFFFF"/>
        </w:rPr>
        <w:t> http://www.konhaber.com/haber-hsyk_da_yeni_doneme_feto_listesi_birakilmadi 704545.html.</w:t>
      </w:r>
    </w:p>
  </w:footnote>
  <w:footnote w:id="178">
    <w:p w14:paraId="26727C58"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Başkanvekili Mehmet Yılmaz 09/10/2016 tarihinde yaptığı açıklamada, ihracına karar verdikleri kişilerle ilgili; </w:t>
      </w:r>
      <w:r w:rsidRPr="00595617">
        <w:rPr>
          <w:rFonts w:ascii="Palatino Linotype" w:hAnsi="Palatino Linotype" w:cstheme="minorHAnsi"/>
          <w:i/>
          <w:color w:val="000000" w:themeColor="text1"/>
          <w:sz w:val="18"/>
          <w:szCs w:val="18"/>
        </w:rPr>
        <w:t>"</w:t>
      </w:r>
      <w:r w:rsidRPr="00595617">
        <w:rPr>
          <w:rFonts w:ascii="Palatino Linotype" w:hAnsi="Palatino Linotype" w:cstheme="minorHAnsi"/>
          <w:i/>
          <w:color w:val="000000" w:themeColor="text1"/>
          <w:sz w:val="18"/>
          <w:szCs w:val="18"/>
          <w:shd w:val="clear" w:color="auto" w:fill="FFFFFF"/>
        </w:rPr>
        <w:t>içki içiyordu, modern hanımdı, mini etek giyiyordu, Atatürkçü düşüncelere sahipti, ülkücüydü"</w:t>
      </w:r>
      <w:r w:rsidRPr="00595617">
        <w:rPr>
          <w:rFonts w:ascii="Palatino Linotype" w:hAnsi="Palatino Linotype" w:cstheme="minorHAnsi"/>
          <w:color w:val="000000" w:themeColor="text1"/>
          <w:sz w:val="18"/>
          <w:szCs w:val="18"/>
          <w:shd w:val="clear" w:color="auto" w:fill="FFFFFF"/>
        </w:rPr>
        <w:t xml:space="preserve"> gibi beyanlarda bulunulduğunu ve bunların kendilerini çok şaşırttığını belirterek, </w:t>
      </w:r>
      <w:r w:rsidRPr="00595617">
        <w:rPr>
          <w:rFonts w:ascii="Palatino Linotype" w:hAnsi="Palatino Linotype" w:cstheme="minorHAnsi"/>
          <w:color w:val="000000" w:themeColor="text1"/>
          <w:sz w:val="18"/>
          <w:szCs w:val="18"/>
        </w:rPr>
        <w:t>ihraç kararlarının fişlemeye dayalı ve yargı mensuplarının özel yaşamlarıyla ilgili olduğunu ortaya koymuştur. https://www.turkiyegazetesi.com.tr/gundem/407454.aspx</w:t>
      </w:r>
      <w:r w:rsidRPr="00595617">
        <w:rPr>
          <w:rFonts w:ascii="Palatino Linotype" w:hAnsi="Palatino Linotype" w:cstheme="minorHAnsi"/>
          <w:color w:val="000000" w:themeColor="text1"/>
          <w:sz w:val="18"/>
          <w:szCs w:val="18"/>
          <w:shd w:val="clear" w:color="auto" w:fill="FFFFFF"/>
        </w:rPr>
        <w:t>. </w:t>
      </w:r>
    </w:p>
  </w:footnote>
  <w:footnote w:id="179">
    <w:p w14:paraId="1119015B"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HSYK Başkanvekili Mehmet Yılmaz, 21/11/2016 tarihinde A Haber Kanalına verdiği röportajda şunları söylemiştir:  </w:t>
      </w:r>
      <w:r w:rsidRPr="00595617">
        <w:rPr>
          <w:rFonts w:ascii="Palatino Linotype" w:hAnsi="Palatino Linotype" w:cstheme="minorHAnsi"/>
          <w:i/>
          <w:color w:val="000000" w:themeColor="text1"/>
          <w:sz w:val="18"/>
          <w:szCs w:val="18"/>
        </w:rPr>
        <w:t xml:space="preserve">"Darbe teşebbüsü öncesinde elimizde yargıdaki bu örgüt üyeleri hakkında bir dosya vardı zaten. Darbe teşebbüsü olmasaydı bile, 2016 sonunda çünkü yapılan bir disiplin soruşturması olduğu için doğal olarak yavaş yürüyor. 2016 sonunda ilgili hakim-savcılara bu konuda savunma verip, gereğini tevessül edecektik. Türkiye'de o dönem şöyle bir tartışma yaşanıyordu. MGK kararlarına, Bakanlar kurulu kararlarına rağmen bir kesim Fethullah Gülen çetesinin, silahlı terör örgütü olup olmadığı noktasında tartışmalar yaşanıyordu. Diyorlardı ki; bu örgütün silahlı terör örgütü olması noktasında bir mahkumiyet kararı olması lazım, kesinleşmiş. İşte bu tartışılırken 15 Temmuz gecesi bu örgüt, silahlı terör örgütü, silahlarıyla sokağa indiler, açık net olarak silahlı terör örgütü olduğu ortaya çıkınca Ankara Başsavcılığı Ceza Muhakemeleri Kanunu 161/8 maddesindeki yetkisine istinaden, silahlı terör, zaten örgüt ortadaydı, delilleriyle ortaya çıkmıştı, bunların artık silahlı terör örgütü olduğu konusunda bir kuşku kalmayınca resen soruşturmaya başladı." </w:t>
      </w:r>
      <w:r w:rsidRPr="00595617">
        <w:rPr>
          <w:rFonts w:ascii="Palatino Linotype" w:hAnsi="Palatino Linotype" w:cstheme="minorHAnsi"/>
          <w:color w:val="000000" w:themeColor="text1"/>
          <w:sz w:val="18"/>
          <w:szCs w:val="18"/>
        </w:rPr>
        <w:t>http://www.sabah.com.tr/webtv/turkiye/hsyk-baskanvekili-mehmet-yilmazdan-carpici-açıkla-malar.</w:t>
      </w:r>
    </w:p>
  </w:footnote>
  <w:footnote w:id="180">
    <w:p w14:paraId="0755BB2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Özpınar/Türkiye Kararı, P.43 ve 86.</w:t>
      </w:r>
    </w:p>
  </w:footnote>
  <w:footnote w:id="181">
    <w:p w14:paraId="7EFA933F" w14:textId="5858DA4E"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00595617" w:rsidRPr="00595617">
        <w:rPr>
          <w:rFonts w:ascii="Palatino Linotype" w:hAnsi="Palatino Linotype" w:cstheme="minorHAnsi"/>
          <w:sz w:val="18"/>
          <w:szCs w:val="18"/>
        </w:rPr>
        <w:t>TÜRMEN Rıza, “</w:t>
      </w:r>
      <w:r w:rsidR="00595617" w:rsidRPr="00595617">
        <w:rPr>
          <w:rFonts w:ascii="Palatino Linotype" w:hAnsi="Palatino Linotype" w:cstheme="minorHAnsi"/>
          <w:i/>
          <w:sz w:val="18"/>
          <w:szCs w:val="18"/>
        </w:rPr>
        <w:t>KHK’lere Karşı Ne Yapılabilir?</w:t>
      </w:r>
      <w:r w:rsidR="00595617" w:rsidRPr="00595617">
        <w:rPr>
          <w:rFonts w:ascii="Palatino Linotype" w:hAnsi="Palatino Linotype" w:cstheme="minorHAnsi"/>
          <w:sz w:val="18"/>
          <w:szCs w:val="18"/>
        </w:rPr>
        <w:t>”, Cumhuriyet Gazetesi, 14/10/2016</w:t>
      </w:r>
      <w:r w:rsidRPr="00595617">
        <w:rPr>
          <w:rFonts w:ascii="Palatino Linotype" w:hAnsi="Palatino Linotype" w:cstheme="minorHAnsi"/>
          <w:color w:val="000000" w:themeColor="text1"/>
          <w:sz w:val="18"/>
          <w:szCs w:val="18"/>
        </w:rPr>
        <w:t>.</w:t>
      </w:r>
    </w:p>
  </w:footnote>
  <w:footnote w:id="182">
    <w:p w14:paraId="6DEFD94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Ceylan/Türkiye Kararı, B.No:23556/94, 08/7/1999.</w:t>
      </w:r>
    </w:p>
  </w:footnote>
  <w:footnote w:id="183">
    <w:p w14:paraId="256FBA0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ŞEN, s.951.</w:t>
      </w:r>
    </w:p>
  </w:footnote>
  <w:footnote w:id="184">
    <w:p w14:paraId="4A40B021"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w:t>
      </w:r>
      <w:r w:rsidRPr="00595617">
        <w:rPr>
          <w:rFonts w:ascii="Palatino Linotype" w:hAnsi="Palatino Linotype" w:cstheme="minorHAnsi"/>
          <w:i/>
          <w:iCs/>
          <w:color w:val="000000" w:themeColor="text1"/>
          <w:sz w:val="18"/>
          <w:szCs w:val="18"/>
        </w:rPr>
        <w:t>Gerileme Raporu</w:t>
      </w:r>
      <w:r w:rsidRPr="00595617">
        <w:rPr>
          <w:rFonts w:ascii="Palatino Linotype" w:hAnsi="Palatino Linotype" w:cstheme="minorHAnsi"/>
          <w:color w:val="000000" w:themeColor="text1"/>
          <w:sz w:val="18"/>
          <w:szCs w:val="18"/>
        </w:rPr>
        <w:t>", Cumhuriyet Gazetesi, 10/11/2016, s.14.</w:t>
      </w:r>
      <w:r w:rsidRPr="00595617">
        <w:rPr>
          <w:rFonts w:ascii="Palatino Linotype" w:hAnsi="Palatino Linotype" w:cstheme="minorHAnsi"/>
          <w:i/>
          <w:color w:val="000000" w:themeColor="text1"/>
          <w:sz w:val="18"/>
          <w:szCs w:val="18"/>
        </w:rPr>
        <w:t xml:space="preserve">  </w:t>
      </w:r>
    </w:p>
  </w:footnote>
  <w:footnote w:id="185">
    <w:p w14:paraId="2EB1B90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Venedik, s.451.</w:t>
      </w:r>
    </w:p>
  </w:footnote>
  <w:footnote w:id="186">
    <w:p w14:paraId="73152A78"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İNCEOĞLU Sibel, "</w:t>
      </w:r>
      <w:r w:rsidRPr="00595617">
        <w:rPr>
          <w:rFonts w:ascii="Palatino Linotype" w:hAnsi="Palatino Linotype" w:cstheme="minorHAnsi"/>
          <w:i/>
          <w:iCs/>
          <w:color w:val="000000" w:themeColor="text1"/>
          <w:sz w:val="18"/>
          <w:szCs w:val="18"/>
        </w:rPr>
        <w:t>Etkili Başvuru Hakkı</w:t>
      </w:r>
      <w:r w:rsidRPr="00595617">
        <w:rPr>
          <w:rFonts w:ascii="Palatino Linotype" w:hAnsi="Palatino Linotype" w:cstheme="minorHAnsi"/>
          <w:color w:val="000000" w:themeColor="text1"/>
          <w:sz w:val="18"/>
          <w:szCs w:val="18"/>
        </w:rPr>
        <w:t>", İnsan Hakları Avrupa Sözleşmesi ve Anayasa, (Editör: Sibel İNCEOĞLU), Avrupa Konseyi Yayını, Şen Matbaa, Ankara, 2013, s.453, ("</w:t>
      </w:r>
      <w:r w:rsidRPr="00595617">
        <w:rPr>
          <w:rFonts w:ascii="Palatino Linotype" w:hAnsi="Palatino Linotype" w:cstheme="minorHAnsi"/>
          <w:i/>
          <w:iCs/>
          <w:color w:val="000000" w:themeColor="text1"/>
          <w:sz w:val="18"/>
          <w:szCs w:val="18"/>
        </w:rPr>
        <w:t>Etkili</w:t>
      </w:r>
      <w:r w:rsidRPr="00595617">
        <w:rPr>
          <w:rFonts w:ascii="Palatino Linotype" w:hAnsi="Palatino Linotype" w:cstheme="minorHAnsi"/>
          <w:color w:val="000000" w:themeColor="text1"/>
          <w:sz w:val="18"/>
          <w:szCs w:val="18"/>
        </w:rPr>
        <w:t>"); DOĞRU/NALBANT, Cilt:2, s.559; HARRIS/O'BOYLE/BATES/BUCKLEY, s.578 vd.</w:t>
      </w:r>
    </w:p>
  </w:footnote>
  <w:footnote w:id="187">
    <w:p w14:paraId="0E0B3C60"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HARRIS/O'BOYLE/BATES/BUCKLEY, s.579; DOĞRU/NALBANT, Cilt:2, s.559; İNCEOĞLU, Etkili, s.440.</w:t>
      </w:r>
    </w:p>
  </w:footnote>
  <w:footnote w:id="188">
    <w:p w14:paraId="6017EF3D"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AİHM'in Klass ve Diğerleri/Almanya Kararı, P.64; HARRIS/O'BOYLE/BATES/BUCKLEY, s.578. </w:t>
      </w:r>
    </w:p>
  </w:footnote>
  <w:footnote w:id="189">
    <w:p w14:paraId="1141D220"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Leonder/İsveç Kararı, B.No: 9248/81, 26/03/1987, P.77.</w:t>
      </w:r>
    </w:p>
  </w:footnote>
  <w:footnote w:id="190">
    <w:p w14:paraId="2526DCBC"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Leonder/İsveç Kararı, P.81.</w:t>
      </w:r>
    </w:p>
  </w:footnote>
  <w:footnote w:id="191">
    <w:p w14:paraId="5EEEDA3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Ramirez Sanchez/Fransa Kararı, B.No: 59450/2000, 04/07/2006, P.165.</w:t>
      </w:r>
    </w:p>
  </w:footnote>
  <w:footnote w:id="192">
    <w:p w14:paraId="0C3703A5"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DOĞRU/NALBANT, Cilt:2, s.562; HARRIS/O'BOYLE/BATES/BUCKLEY, s.579.  </w:t>
      </w:r>
    </w:p>
  </w:footnote>
  <w:footnote w:id="193">
    <w:p w14:paraId="35938E3C"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İNCEOĞLU, Etkili, s.448.</w:t>
      </w:r>
    </w:p>
  </w:footnote>
  <w:footnote w:id="194">
    <w:p w14:paraId="78C45D99"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Sacit Kayasu/Türkiye Kararı, P.121; Özpınar/Türkiye Kararı, P.85.</w:t>
      </w:r>
    </w:p>
  </w:footnote>
  <w:footnote w:id="195">
    <w:p w14:paraId="2047B391"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HSYK Başkanvekili Mehmet Yılmaz, 18/11/2016 tarihinde Hürriyet Gazetesi'nde yayımlanan röportajında, yapılan yeniden inceleme talebinin etkili bir yol olmadığını göstermesi adına şu ifadeleri kullanmıştır; </w:t>
      </w:r>
      <w:r w:rsidRPr="00595617">
        <w:rPr>
          <w:rFonts w:ascii="Palatino Linotype" w:hAnsi="Palatino Linotype" w:cstheme="minorHAnsi"/>
          <w:i/>
          <w:color w:val="000000" w:themeColor="text1"/>
          <w:sz w:val="18"/>
          <w:szCs w:val="18"/>
        </w:rPr>
        <w:t xml:space="preserve">"…FETÖ'den ihraç edilen hâkimlerden 3285'inin itirazı da reddedilmiştir. Yani yapılan yeniden inceleme taleplerinin hiçbiri kabul edilmemiştir"; </w:t>
      </w:r>
      <w:r w:rsidRPr="00595617">
        <w:rPr>
          <w:rFonts w:ascii="Palatino Linotype" w:hAnsi="Palatino Linotype" w:cstheme="minorHAnsi"/>
          <w:color w:val="000000" w:themeColor="text1"/>
          <w:sz w:val="18"/>
          <w:szCs w:val="18"/>
        </w:rPr>
        <w:t>HSYK Genel Kurulunun 29/11/2016 tarihli ve 2016/434 sayılı kararıyla yeniden inceleme taleplerinin tamamı reddedilmiştir. 30/11/2016 tarihli ve 29904 sayılı Resmi Gazete.</w:t>
      </w:r>
    </w:p>
  </w:footnote>
  <w:footnote w:id="196">
    <w:p w14:paraId="79C07440"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"Ayrımcılık iddiasının ciddiye alınabilmesi için, başvurucunun kendisiyle benzer durumdaki başka kişilere yapılan muamele ile kendisine yapılan muamele arasında bir farklılığın bulunduğunu ve bu farklılığın meşru bir temeli olmaksızın ırk, renk, cinsiyet, din, dil... v.b. ayrımcı bir nedene dayandığını makul delillerle ortaya koyması gerekir."</w:t>
      </w:r>
      <w:r w:rsidRPr="00595617">
        <w:rPr>
          <w:rFonts w:ascii="Palatino Linotype" w:hAnsi="Palatino Linotype" w:cstheme="minorHAnsi"/>
          <w:color w:val="000000" w:themeColor="text1"/>
          <w:sz w:val="18"/>
          <w:szCs w:val="18"/>
        </w:rPr>
        <w:t xml:space="preserve"> AYM'nin Metin Durmaz Kararı, B. No: 2013/7764, 25/03/2015, P.98; KARAN Ulaş, "</w:t>
      </w:r>
      <w:r w:rsidRPr="00595617">
        <w:rPr>
          <w:rFonts w:ascii="Palatino Linotype" w:hAnsi="Palatino Linotype" w:cstheme="minorHAnsi"/>
          <w:i/>
          <w:iCs/>
          <w:color w:val="000000" w:themeColor="text1"/>
          <w:sz w:val="18"/>
          <w:szCs w:val="18"/>
        </w:rPr>
        <w:t>Eşitlik İlkesi ve Ayrımcılık Yasağı</w:t>
      </w:r>
      <w:r w:rsidRPr="00595617">
        <w:rPr>
          <w:rFonts w:ascii="Palatino Linotype" w:hAnsi="Palatino Linotype" w:cstheme="minorHAnsi"/>
          <w:color w:val="000000" w:themeColor="text1"/>
          <w:sz w:val="18"/>
          <w:szCs w:val="18"/>
        </w:rPr>
        <w:t>" İnsan Hakları Avrupa Sözleşmesi ve Anayasa, (Editör: Sibel İnceoğlu), Avrupa Konseyi Yayını, Şen Matbaa, Ankara, 2013, s.462, (“</w:t>
      </w:r>
      <w:r w:rsidRPr="00595617">
        <w:rPr>
          <w:rFonts w:ascii="Palatino Linotype" w:hAnsi="Palatino Linotype" w:cstheme="minorHAnsi"/>
          <w:i/>
          <w:iCs/>
          <w:color w:val="000000" w:themeColor="text1"/>
          <w:sz w:val="18"/>
          <w:szCs w:val="18"/>
        </w:rPr>
        <w:t>Ayrımcılık</w:t>
      </w:r>
      <w:r w:rsidRPr="00595617">
        <w:rPr>
          <w:rFonts w:ascii="Palatino Linotype" w:hAnsi="Palatino Linotype" w:cstheme="minorHAnsi"/>
          <w:color w:val="000000" w:themeColor="text1"/>
          <w:sz w:val="18"/>
          <w:szCs w:val="18"/>
        </w:rPr>
        <w:t xml:space="preserve">”); HARRIS/O'BOYLE/BATES/BUCKLEY, s.598. </w:t>
      </w:r>
    </w:p>
  </w:footnote>
  <w:footnote w:id="197">
    <w:p w14:paraId="6738AC6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DOĞRU/NALBANT, Cilt:2, s.603-604; HARRIS/O'BOYLE/BATES/BUCKLEY, s.600.</w:t>
      </w:r>
    </w:p>
  </w:footnote>
  <w:footnote w:id="198">
    <w:p w14:paraId="043A5CF6"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AİHM'in Willis/İngiltere Kararı, B. No: 36042/97, 11/06/2002, P.48.  </w:t>
      </w:r>
    </w:p>
  </w:footnote>
  <w:footnote w:id="199">
    <w:p w14:paraId="4E0CFAA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t>AİHM'in Marckx/Belçika Kararı, B.No: 6833/74, 13/6/1979, P.39; H</w:t>
      </w:r>
      <w:r w:rsidRPr="00595617">
        <w:rPr>
          <w:rFonts w:ascii="Palatino Linotype" w:hAnsi="Palatino Linotype" w:cstheme="minorHAnsi"/>
          <w:color w:val="000000" w:themeColor="text1"/>
          <w:sz w:val="18"/>
          <w:szCs w:val="18"/>
        </w:rPr>
        <w:t>ARRIS/O'BOYLE/BATES/BUCKLEY, s.600-601;  DOĞRU/NALBANT, Cilt:2, s.604</w:t>
      </w:r>
    </w:p>
  </w:footnote>
  <w:footnote w:id="200">
    <w:p w14:paraId="62F95FE4" w14:textId="6D288B20"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r>
      <w:r w:rsidR="00595617" w:rsidRPr="00595617">
        <w:rPr>
          <w:rFonts w:ascii="Palatino Linotype" w:hAnsi="Palatino Linotype" w:cstheme="minorHAnsi"/>
          <w:color w:val="000000" w:themeColor="text1"/>
          <w:sz w:val="18"/>
          <w:szCs w:val="18"/>
        </w:rPr>
        <w:t>KARAN, Ayrımcılık</w:t>
      </w:r>
      <w:r w:rsidRPr="00595617">
        <w:rPr>
          <w:rFonts w:ascii="Palatino Linotype" w:hAnsi="Palatino Linotype" w:cstheme="minorHAnsi"/>
          <w:color w:val="000000" w:themeColor="text1"/>
          <w:sz w:val="18"/>
          <w:szCs w:val="18"/>
        </w:rPr>
        <w:t>, s.472 vd; DOĞRU/NALBANT, Cilt:2, s.604.</w:t>
      </w:r>
    </w:p>
  </w:footnote>
  <w:footnote w:id="201">
    <w:p w14:paraId="13E08BA4"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DOĞRU/NALBANT, Cilt:2, s.605; KARAN, Ayrımcılık, s.472-473.</w:t>
      </w:r>
    </w:p>
  </w:footnote>
  <w:footnote w:id="202">
    <w:p w14:paraId="2859D5F1"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KARAN, Ayrımcılık, s.474.</w:t>
      </w:r>
    </w:p>
  </w:footnote>
  <w:footnote w:id="203">
    <w:p w14:paraId="19713D58"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AİHM'in Chassagnou ve Diğerleri/Fransa Kararı, B.No: 28443/95, 29/04/1999, P.91-92. </w:t>
      </w:r>
    </w:p>
  </w:footnote>
  <w:footnote w:id="204">
    <w:p w14:paraId="284B14B0"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Nachova ve Diğerleri/Bulgaristan Kararı, B.No: 43579/98, 06/07/2005, P.147-157.</w:t>
      </w:r>
    </w:p>
  </w:footnote>
  <w:footnote w:id="205">
    <w:p w14:paraId="636574DC"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D.H ve Diğerleri/Çek Cumhuriyeti Kararı, B.No: 57325/00, 13/11/2007, P.188.</w:t>
      </w:r>
    </w:p>
  </w:footnote>
  <w:footnote w:id="206">
    <w:p w14:paraId="4640FC5B" w14:textId="09B87A4D"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00595617" w:rsidRPr="00595617">
        <w:rPr>
          <w:rFonts w:ascii="Palatino Linotype" w:hAnsi="Palatino Linotype" w:cstheme="minorHAnsi"/>
          <w:sz w:val="18"/>
          <w:szCs w:val="18"/>
        </w:rPr>
        <w:t>KARAN Ulaş, “</w:t>
      </w:r>
      <w:r w:rsidR="00595617" w:rsidRPr="00595617">
        <w:rPr>
          <w:rFonts w:ascii="Palatino Linotype" w:hAnsi="Palatino Linotype" w:cstheme="minorHAnsi"/>
          <w:i/>
          <w:sz w:val="18"/>
          <w:szCs w:val="18"/>
        </w:rPr>
        <w:t>Eşitlik İlkesi ve Ayrımcılık Yasağı</w:t>
      </w:r>
      <w:r w:rsidR="00595617" w:rsidRPr="00595617">
        <w:rPr>
          <w:rFonts w:ascii="Palatino Linotype" w:hAnsi="Palatino Linotype" w:cstheme="minorHAnsi"/>
          <w:sz w:val="18"/>
          <w:szCs w:val="18"/>
        </w:rPr>
        <w:t>”, İnsan Hakları Avrupa Sözleşmesi ve Anayasa, (Ed. Sibel İnceoğlu), Avrupa Konseyi Yayınları, Şen Matbaa, Ankara, 2013</w:t>
      </w:r>
      <w:r w:rsidR="00595617" w:rsidRPr="00595617">
        <w:rPr>
          <w:rFonts w:ascii="Palatino Linotype" w:hAnsi="Palatino Linotype" w:cstheme="minorHAnsi"/>
          <w:sz w:val="18"/>
          <w:szCs w:val="18"/>
        </w:rPr>
        <w:t xml:space="preserve">, S.480; </w:t>
      </w:r>
      <w:r w:rsidRPr="00595617">
        <w:rPr>
          <w:rFonts w:ascii="Palatino Linotype" w:hAnsi="Palatino Linotype" w:cstheme="minorHAnsi"/>
          <w:color w:val="000000" w:themeColor="text1"/>
          <w:sz w:val="18"/>
          <w:szCs w:val="18"/>
        </w:rPr>
        <w:t>DOĞRU/NALBANT, Cilt: 2, s.607; HARRIS/O'BOYLE/BATES/BUCKLEY, s.621 vd.</w:t>
      </w:r>
    </w:p>
  </w:footnote>
  <w:footnote w:id="207">
    <w:p w14:paraId="461E0022"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HSYK kararının 22 ve 23. sayfalarında HSYK seçimleriyle ilgili bilgilere yer verilmiştir.</w:t>
      </w:r>
    </w:p>
  </w:footnote>
  <w:footnote w:id="208">
    <w:p w14:paraId="07F7E05D"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w:t>
      </w:r>
      <w:r w:rsidRPr="00595617">
        <w:rPr>
          <w:rFonts w:ascii="Palatino Linotype" w:hAnsi="Palatino Linotype" w:cstheme="minorHAnsi"/>
          <w:i/>
          <w:iCs/>
          <w:color w:val="000000" w:themeColor="text1"/>
          <w:sz w:val="18"/>
          <w:szCs w:val="18"/>
        </w:rPr>
        <w:t>Gerileme Raporu</w:t>
      </w:r>
      <w:r w:rsidRPr="00595617">
        <w:rPr>
          <w:rFonts w:ascii="Palatino Linotype" w:hAnsi="Palatino Linotype" w:cstheme="minorHAnsi"/>
          <w:color w:val="000000" w:themeColor="text1"/>
          <w:sz w:val="18"/>
          <w:szCs w:val="18"/>
        </w:rPr>
        <w:t xml:space="preserve">", Cumhuriyet Gazetesi, 10/11/2016, s.14. </w:t>
      </w:r>
    </w:p>
  </w:footnote>
  <w:footnote w:id="209">
    <w:p w14:paraId="4B66F240"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Ülkemizde durum bu olsa da, üyesi olduğumuz Avrupa Konseyi Parlamenter Meclisi Yargıçlar ve Savcılar Birliği (AKPM), insan haklarının savunulması alanında üstün hizmet gösteren ve 2013'ten bu yana verilen Vaclav Havel ödülünü, </w:t>
      </w:r>
      <w:r w:rsidRPr="00595617">
        <w:rPr>
          <w:rFonts w:ascii="Palatino Linotype" w:hAnsi="Palatino Linotype" w:cstheme="minorHAnsi"/>
          <w:i/>
          <w:color w:val="000000" w:themeColor="text1"/>
          <w:sz w:val="18"/>
          <w:szCs w:val="18"/>
        </w:rPr>
        <w:t>“iyi tanınan ve saygın, her zaman yargının bağımsızlığından yana olan”</w:t>
      </w:r>
      <w:r w:rsidRPr="00595617">
        <w:rPr>
          <w:rFonts w:ascii="Palatino Linotype" w:hAnsi="Palatino Linotype" w:cstheme="minorHAnsi"/>
          <w:color w:val="000000" w:themeColor="text1"/>
          <w:sz w:val="18"/>
          <w:szCs w:val="18"/>
        </w:rPr>
        <w:t xml:space="preserve"> ifadeleriyle tanıttığı YARSAV Başkanı Murat Arslan'a vermiştir. “</w:t>
      </w:r>
      <w:r w:rsidRPr="00595617">
        <w:rPr>
          <w:rFonts w:ascii="Palatino Linotype" w:hAnsi="Palatino Linotype" w:cstheme="minorHAnsi"/>
          <w:i/>
          <w:iCs/>
          <w:color w:val="000000" w:themeColor="text1"/>
          <w:sz w:val="18"/>
          <w:szCs w:val="18"/>
        </w:rPr>
        <w:t>FETÖ Tutuklusuna İnsan Hakları Ödülü</w:t>
      </w:r>
      <w:r w:rsidRPr="00595617">
        <w:rPr>
          <w:rFonts w:ascii="Palatino Linotype" w:hAnsi="Palatino Linotype" w:cstheme="minorHAnsi"/>
          <w:color w:val="000000" w:themeColor="text1"/>
          <w:sz w:val="18"/>
          <w:szCs w:val="18"/>
        </w:rPr>
        <w:t>”, Cumhuriyet Gazetesi, 10/10/2017, s.6.; “</w:t>
      </w:r>
      <w:r w:rsidRPr="00595617">
        <w:rPr>
          <w:rFonts w:ascii="Palatino Linotype" w:hAnsi="Palatino Linotype" w:cstheme="minorHAnsi"/>
          <w:i/>
          <w:iCs/>
          <w:color w:val="000000" w:themeColor="text1"/>
          <w:sz w:val="18"/>
          <w:szCs w:val="18"/>
        </w:rPr>
        <w:t>AKPM'den FETÖ Tutuklusuna Ödül</w:t>
      </w:r>
      <w:r w:rsidRPr="00595617">
        <w:rPr>
          <w:rFonts w:ascii="Palatino Linotype" w:hAnsi="Palatino Linotype" w:cstheme="minorHAnsi"/>
          <w:color w:val="000000" w:themeColor="text1"/>
          <w:sz w:val="18"/>
          <w:szCs w:val="18"/>
        </w:rPr>
        <w:t xml:space="preserve">”, 10/10/2017, Hürriyet Gazetesi, s.17. </w:t>
      </w:r>
    </w:p>
  </w:footnote>
  <w:footnote w:id="210">
    <w:p w14:paraId="4768705E"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 http://www.milliyet.com.tr/hsyk-baskan-vekili-mehmet-yilmaz-bolu-yerelhaber-1713763/. </w:t>
      </w:r>
    </w:p>
  </w:footnote>
  <w:footnote w:id="211">
    <w:p w14:paraId="0CABAE4D"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Konuyla ilgili olarak, Avrupa Komisyonu 2018 yılı Türkiye raporunda şu hususlara yer verilmiştir; </w:t>
      </w:r>
      <w:r w:rsidRPr="00595617">
        <w:rPr>
          <w:rFonts w:ascii="Palatino Linotype" w:hAnsi="Palatino Linotype" w:cstheme="minorHAnsi"/>
          <w:i/>
          <w:color w:val="000000" w:themeColor="text1"/>
          <w:sz w:val="18"/>
          <w:szCs w:val="18"/>
        </w:rPr>
        <w:t xml:space="preserve">"Yargıçlar ve Savcılar Birliği ve Yargıçlar Sendikası gibi iki önemli örgütün olağanüstü hâl kapsamında kapatılmasının yargıç derneklerindeki çoğulculuk üzerinde etkileri olmuştur. Yaklaşık 9.145 üyesi bulunan, en büyük dernek olan Yargıda Birlik Derneği hükümete yakınlığıyla bilinmektedir."  </w:t>
      </w:r>
    </w:p>
  </w:footnote>
  <w:footnote w:id="212">
    <w:p w14:paraId="314A85E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eastAsia="Times New Roman" w:hAnsi="Palatino Linotype" w:cstheme="minorHAnsi"/>
          <w:color w:val="000000" w:themeColor="text1"/>
          <w:sz w:val="18"/>
          <w:szCs w:val="18"/>
        </w:rPr>
        <w:t xml:space="preserve">Danıştay İçtihadı Birleştirme Genel Kurulunun 07.12.1989 T., </w:t>
      </w:r>
      <w:r w:rsidRPr="00595617">
        <w:rPr>
          <w:rFonts w:ascii="Palatino Linotype" w:eastAsia="Times New Roman" w:hAnsi="Palatino Linotype" w:cstheme="minorHAnsi"/>
          <w:bCs/>
          <w:color w:val="000000" w:themeColor="text1"/>
          <w:sz w:val="18"/>
          <w:szCs w:val="18"/>
        </w:rPr>
        <w:t>1988/6 E., 1989/4 K. sayılı kararı.</w:t>
      </w:r>
    </w:p>
  </w:footnote>
  <w:footnote w:id="213">
    <w:p w14:paraId="12FEF4A3" w14:textId="77777777" w:rsidR="00936167" w:rsidRPr="00595617" w:rsidRDefault="00936167" w:rsidP="00595617">
      <w:pPr>
        <w:pStyle w:val="s75fc5acc"/>
        <w:spacing w:before="0" w:beforeAutospacing="0" w:after="0" w:afterAutospacing="0"/>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Rainys ve Gasoaravicius/Litvanya, B.No: 70665/01 ve 74345/01, 07/7/2005 ve Sidabras ve Dziautas/Litvanya Kararları.</w:t>
      </w:r>
      <w:r w:rsidRPr="00595617">
        <w:rPr>
          <w:rFonts w:ascii="Palatino Linotype" w:hAnsi="Palatino Linotype" w:cstheme="minorHAnsi"/>
          <w:i/>
          <w:color w:val="000000" w:themeColor="text1"/>
          <w:sz w:val="18"/>
          <w:szCs w:val="18"/>
        </w:rPr>
        <w:t xml:space="preserve"> </w:t>
      </w:r>
      <w:r w:rsidRPr="00595617">
        <w:rPr>
          <w:rFonts w:ascii="Palatino Linotype" w:hAnsi="Palatino Linotype" w:cstheme="minorHAnsi"/>
          <w:color w:val="000000" w:themeColor="text1"/>
          <w:sz w:val="18"/>
          <w:szCs w:val="18"/>
        </w:rPr>
        <w:t xml:space="preserve">Bu iki karara konu başvuruları yapan </w:t>
      </w:r>
      <w:r w:rsidRPr="00595617">
        <w:rPr>
          <w:rStyle w:val="sb8d990e2"/>
          <w:rFonts w:ascii="Palatino Linotype" w:hAnsi="Palatino Linotype" w:cstheme="minorHAnsi"/>
          <w:color w:val="000000" w:themeColor="text1"/>
          <w:sz w:val="18"/>
          <w:szCs w:val="18"/>
        </w:rPr>
        <w:t>Üç kişi Litvanya’da KBG eski çalışanıdırlar. 1998 yılında yürürlüğe giren KBG Kanununun ardından başvuranların görevlerine son verilmiş ve başvuranlar, kamu ve çeşitli özel sektör işlerine başvurmaktan men edilmişlerdir. Başvuranlar, daha sonra, yerel mahkemeler önünde dava açmışlar, ancak bu davayı kaybetmişlerdir. </w:t>
      </w:r>
      <w:r w:rsidRPr="00595617">
        <w:rPr>
          <w:rStyle w:val="s6b621b36"/>
          <w:rFonts w:ascii="Palatino Linotype" w:hAnsi="Palatino Linotype" w:cstheme="minorHAnsi"/>
          <w:iCs/>
          <w:color w:val="000000" w:themeColor="text1"/>
          <w:sz w:val="18"/>
          <w:szCs w:val="18"/>
        </w:rPr>
        <w:t xml:space="preserve"> Fakat AİHM,</w:t>
      </w:r>
      <w:r w:rsidRPr="00595617">
        <w:rPr>
          <w:rStyle w:val="sb8d990e2"/>
          <w:rFonts w:ascii="Palatino Linotype" w:hAnsi="Palatino Linotype" w:cstheme="minorHAnsi"/>
          <w:color w:val="000000" w:themeColor="text1"/>
          <w:sz w:val="18"/>
          <w:szCs w:val="18"/>
        </w:rPr>
        <w:t xml:space="preserve"> söz konusu yasağın Sözleşme’nin 8. maddesi ile birlikte 14. maddesini ihlal ettiğine hükmetmiştir. Bu kararların ardından, başvuranlar, KGB Kanunu değiştirilmediği için özel sektörde hala iş bulamadıklarını iddia ederek yeniden dava açmışlardır. Ancak, şikâyetleri kabul edilmemiştir.</w:t>
      </w:r>
      <w:r w:rsidRPr="00595617">
        <w:rPr>
          <w:rFonts w:ascii="Palatino Linotype" w:hAnsi="Palatino Linotype" w:cstheme="minorHAnsi"/>
          <w:color w:val="000000" w:themeColor="text1"/>
          <w:sz w:val="18"/>
          <w:szCs w:val="18"/>
        </w:rPr>
        <w:t xml:space="preserve"> </w:t>
      </w:r>
      <w:r w:rsidRPr="00595617">
        <w:rPr>
          <w:rStyle w:val="sb8d990e2"/>
          <w:rFonts w:ascii="Palatino Linotype" w:hAnsi="Palatino Linotype" w:cstheme="minorHAnsi"/>
          <w:color w:val="000000" w:themeColor="text1"/>
          <w:sz w:val="18"/>
          <w:szCs w:val="18"/>
        </w:rPr>
        <w:t>Davalı Hükümet, başvuranların şikâyetinin temel olarak daha önce Mahkeme’nin incelediği meselelere ilişkin olduğundan kabul edilemez olarak nitelendirilmesi gerektiğini ileri sürmüştür. Ancak, Mahkeme, Mahkeme’nin yukarıda anılan kararlarının ardından, birinci ve ikinci başvuranlar (Sidabras ve Dziautas), keyfi ayrımcılık nedeniyle tazminat talebiyle Litvanya idare mahkemelerine başvurularda bulunduklarını belirtmişlerdir. İdare mahkemesi önünde görülen yargılamanın ardından, Yüksek İdare Mahkemesi, insan hakları ulusal düzeyde savunulurken Sözleşme’ye ve Mahkeme içtihadına doğrudan dayanılabileceğini ve hukuk kuralları hiyerarşisinde Sözleşme’nin iç hukuka göre önceliği olduğunu tartışmasız bir şekilde kabul etmiştir. Üçüncü başvuran (Rainys), ayrıca, önceki işine ilişkin haklarının geri verilmesi için yeniden dava açmıştır. Ancak, üçüncü başvuranın işten çıkartılması Sözleşme’ye aykırı bulunsa da, KGB Kanununun yürürlükte olması nedeniyle üçüncü başvuran eski haklarını elde edememiştir.</w:t>
      </w:r>
      <w:r w:rsidRPr="00595617">
        <w:rPr>
          <w:rFonts w:ascii="Palatino Linotype" w:hAnsi="Palatino Linotype" w:cstheme="minorHAnsi"/>
          <w:color w:val="000000" w:themeColor="text1"/>
          <w:sz w:val="18"/>
          <w:szCs w:val="18"/>
        </w:rPr>
        <w:t xml:space="preserve"> </w:t>
      </w:r>
      <w:r w:rsidRPr="00595617">
        <w:rPr>
          <w:rStyle w:val="sb8d990e2"/>
          <w:rFonts w:ascii="Palatino Linotype" w:hAnsi="Palatino Linotype" w:cstheme="minorHAnsi"/>
          <w:color w:val="000000" w:themeColor="text1"/>
          <w:sz w:val="18"/>
          <w:szCs w:val="18"/>
        </w:rPr>
        <w:t>Söz konusu Kanunun hala yürürlükte olduğu göz önüne alındığında, yukarıda atıfta bulunulan unsurlar ve en yüksek idari ve genel yargı mahkemelerinin vardıkları çelişkili sonuçlar, 8. madde ile birlikte 14. maddenin ihlaline yol açabilecek şekilde, KGB eski çalışanlarının Sözleşme’den doğan haklarına ilişkin olarak Sözleşme’nin 35 § 2 (b) maddesi kapsamında Mahkeme tarafından “ilgili yeni bilgi” olarak kabul edilmiştir. Ayrıca, Avrupa Konseyi Bakanlar Komitesi’nin başvuranların davalarında Mahkeme kararlarının icrasını takip etmeye başlamasına rağmen, henüz nihai karar verilmemiştir. Buna göre, şikâyetler konu bakımından Sözleşme ve protokollerine uygundur.  </w:t>
      </w:r>
      <w:r w:rsidRPr="00595617">
        <w:rPr>
          <w:rStyle w:val="s6b621b36"/>
          <w:rFonts w:ascii="Palatino Linotype" w:hAnsi="Palatino Linotype" w:cstheme="minorHAnsi"/>
          <w:iCs/>
          <w:color w:val="000000" w:themeColor="text1"/>
          <w:sz w:val="18"/>
          <w:szCs w:val="18"/>
        </w:rPr>
        <w:t>Birinci ve ikinci başvuranlar</w:t>
      </w:r>
      <w:r w:rsidRPr="00595617">
        <w:rPr>
          <w:rStyle w:val="sb8d990e2"/>
          <w:rFonts w:ascii="Palatino Linotype" w:hAnsi="Palatino Linotype" w:cstheme="minorHAnsi"/>
          <w:color w:val="000000" w:themeColor="text1"/>
          <w:sz w:val="18"/>
          <w:szCs w:val="18"/>
        </w:rPr>
        <w:t> – </w:t>
      </w:r>
      <w:r w:rsidRPr="00595617">
        <w:rPr>
          <w:rStyle w:val="s6b621b36"/>
          <w:rFonts w:ascii="Palatino Linotype" w:hAnsi="Palatino Linotype" w:cstheme="minorHAnsi"/>
          <w:iCs/>
          <w:color w:val="000000" w:themeColor="text1"/>
          <w:sz w:val="18"/>
          <w:szCs w:val="18"/>
        </w:rPr>
        <w:t>Rainys ve Gasparavicius</w:t>
      </w:r>
      <w:r w:rsidRPr="00595617">
        <w:rPr>
          <w:rStyle w:val="sb8d990e2"/>
          <w:rFonts w:ascii="Palatino Linotype" w:hAnsi="Palatino Linotype" w:cstheme="minorHAnsi"/>
          <w:color w:val="000000" w:themeColor="text1"/>
          <w:sz w:val="18"/>
          <w:szCs w:val="18"/>
        </w:rPr>
        <w:t xml:space="preserve"> davasında ortaya konan ilkeler uyarınca, Mahkeme, ilk iki başvuranın, Hükümet’ten 8. madde ile birlikte 14. maddenin ihlalinde ayrımcı bir tedbirin var olmadığını kanıtlamasının talep edilmesi ve ispat yükünün kaldırılması için KGB Kanununun kendilerinin özel sektörde işe girmesini engellediğini yeterince gösterip göstermediklerini belirlemelidir. Birinci başvuranın davasında, yerel mahkeme, 2004 tarihli Mahkeme kararının ardından, KGB Kanununda yer alan sınırlamalar nedeniyle özel sektörde iş bulamadığına ilişkin herhangi bir kanıt olmadığı sonucuna varmıştır. Ayrıca, birinci başvuran söz konusu kısıtlamalar nedeniyle kendisini kimin ve ne zaman işe almayı reddettiği konusunda belirli bir bilgi vermemiştir. Mahkeme önündeki belgeler dikkate alındığında, birinci başvuranın gerekçelendirilmiş nedenlerle veya birçok iş teklifini reddettiği için işe gitmediğine ilişkin yerel mahkeme hükmüyle çelişen hiçbir kanıt bulunmamaktadır. İkinci başvuran ise, 2006 yılından beri stajyer avukatlık yaptığını ve özel sektörde başka bir işe girmeye hiçbir zaman teşebbüs etmediğini kabul etmiştir. Bu nedenle, konumu nedeniyle ayrımcılığa uğramaya devam ettiği iddiasını destekleyememiştir. Yukarıdaki açıklamalar ışığında, ilk iki başvuran, davalarına ilişkin Mahkeme kararlarının ardından ayrımcılığa maruz kaldıklarını makul bir şekilde gösterememişlerdir. </w:t>
      </w:r>
      <w:r w:rsidRPr="00595617">
        <w:rPr>
          <w:rStyle w:val="s6b621b36"/>
          <w:rFonts w:ascii="Palatino Linotype" w:hAnsi="Palatino Linotype" w:cstheme="minorHAnsi"/>
          <w:iCs/>
          <w:color w:val="000000" w:themeColor="text1"/>
          <w:sz w:val="18"/>
          <w:szCs w:val="18"/>
        </w:rPr>
        <w:t>Bu nedenle</w:t>
      </w:r>
      <w:r w:rsidRPr="00595617">
        <w:rPr>
          <w:rStyle w:val="sb8d990e2"/>
          <w:rFonts w:ascii="Palatino Linotype" w:hAnsi="Palatino Linotype" w:cstheme="minorHAnsi"/>
          <w:color w:val="000000" w:themeColor="text1"/>
          <w:sz w:val="18"/>
          <w:szCs w:val="18"/>
        </w:rPr>
        <w:t xml:space="preserve"> Birinci ve ikinci başvurana ilişkin olarak ihlal bulunmadığına hükmedilmiştir. </w:t>
      </w:r>
      <w:r w:rsidRPr="00595617">
        <w:rPr>
          <w:rStyle w:val="s6b621b36"/>
          <w:rFonts w:ascii="Palatino Linotype" w:hAnsi="Palatino Linotype" w:cstheme="minorHAnsi"/>
          <w:iCs/>
          <w:color w:val="000000" w:themeColor="text1"/>
          <w:sz w:val="18"/>
          <w:szCs w:val="18"/>
        </w:rPr>
        <w:t>Üçüncü başvuran</w:t>
      </w:r>
      <w:r w:rsidRPr="00595617">
        <w:rPr>
          <w:rStyle w:val="sb8d990e2"/>
          <w:rFonts w:ascii="Palatino Linotype" w:hAnsi="Palatino Linotype" w:cstheme="minorHAnsi"/>
          <w:color w:val="000000" w:themeColor="text1"/>
          <w:sz w:val="18"/>
          <w:szCs w:val="18"/>
        </w:rPr>
        <w:t xml:space="preserve"> – Yerel mahkemeler, birinci başvuranın işten çıkartılmasının Sözleşme’ye aykırı olduğunu kabul etmiştir. Ancak, aynı zamanda, uygun bir açıklama sağlayarak eski haklarının iadesine hükmetmemişlerdir. Ayrıca, </w:t>
      </w:r>
      <w:r w:rsidRPr="00595617">
        <w:rPr>
          <w:rStyle w:val="sb8d990e2"/>
          <w:rFonts w:ascii="Palatino Linotype" w:hAnsi="Palatino Linotype" w:cstheme="minorHAnsi"/>
          <w:i/>
          <w:color w:val="000000" w:themeColor="text1"/>
          <w:sz w:val="18"/>
          <w:szCs w:val="18"/>
        </w:rPr>
        <w:t>“KGB Kanunu hala yürürlükte olduğundan, üçüncü başvuranın haklarının geri verilmesinin mümkün olmadığını”</w:t>
      </w:r>
      <w:r w:rsidRPr="00595617">
        <w:rPr>
          <w:rStyle w:val="sb8d990e2"/>
          <w:rFonts w:ascii="Palatino Linotype" w:hAnsi="Palatino Linotype" w:cstheme="minorHAnsi"/>
          <w:color w:val="000000" w:themeColor="text1"/>
          <w:sz w:val="18"/>
          <w:szCs w:val="18"/>
        </w:rPr>
        <w:t xml:space="preserve"> açıkça belirtmişlerdir. Bu hüküm ve yerel mahkemelerin gerekçe göstermemeleri göz önüne alındığında Litvanya Hükümeti, yerel mahkemelerin KGB Kanununa atıfta bulunmaları, üçüncü başvuranın haklarının geri verilmesi ve telekomünikasyon şirketindeki işine geri alınma talebinin reddedilmesinin yasal dayanağını oluşturan belirleyici bir unsur olmadığını kesin bir şekilde göstermemiştir ve bu nedenle üçüncü başvurana ilişkin olarak ihlal bulunduğuna hükmedilmiştir. AİHM'in Sidabras ve Diğerleri/Litvanya Kararı, B.No: 50421/08 ve 56213/08, 13/6/2015</w:t>
      </w:r>
    </w:p>
  </w:footnote>
  <w:footnote w:id="214">
    <w:p w14:paraId="59FBDA45" w14:textId="77777777" w:rsidR="00936167" w:rsidRPr="00595617" w:rsidRDefault="00936167" w:rsidP="00595617">
      <w:pPr>
        <w:spacing w:after="0" w:line="240" w:lineRule="auto"/>
        <w:ind w:left="567" w:hanging="567"/>
        <w:jc w:val="both"/>
        <w:rPr>
          <w:rFonts w:ascii="Palatino Linotype" w:eastAsiaTheme="minorHAnsi" w:hAnsi="Palatino Linotype" w:cs="Times New Roman"/>
          <w:color w:val="000000" w:themeColor="text1"/>
          <w:sz w:val="18"/>
          <w:szCs w:val="18"/>
          <w:lang w:eastAsia="en-US"/>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r>
      <w:r w:rsidRPr="00595617">
        <w:rPr>
          <w:rFonts w:ascii="Palatino Linotype" w:eastAsiaTheme="minorHAnsi" w:hAnsi="Palatino Linotype" w:cs="Times New Roman"/>
          <w:color w:val="000000" w:themeColor="text1"/>
          <w:sz w:val="18"/>
          <w:szCs w:val="18"/>
          <w:lang w:eastAsia="en-US"/>
        </w:rPr>
        <w:t xml:space="preserve">Aynı şekilde Mahkeme, hakkındaki idari ve yargısal kararlar nedeniyle kamu sektöründe bir işe ve sınava giremediğini iddia eden başvurucunun şikâyetiyle ilgili olarak, hükümetin iddia ettiği gibi başvurucunun kamu sektöründe başka bir işe girebileceği varsayılsa bile, bu durumun ilgilinin cinsiyeti nedeniyle işten çıkartılmasının ve devam eden yargılamaların özel hayatı üzerinde oluşturduğu yıkıcı etkiyi gideremeyeceğini belirterek, AİHS'in 14. maddesinin 8. maddesiyle bağlantılı olarak ihlaline karar vermiştir. </w:t>
      </w:r>
      <w:r w:rsidRPr="00595617">
        <w:rPr>
          <w:rFonts w:ascii="Palatino Linotype" w:eastAsiaTheme="minorHAnsi" w:hAnsi="Palatino Linotype"/>
          <w:color w:val="000000" w:themeColor="text1"/>
          <w:sz w:val="18"/>
          <w:szCs w:val="18"/>
          <w:lang w:eastAsia="en-US"/>
        </w:rPr>
        <w:t xml:space="preserve">AİHM'in </w:t>
      </w:r>
      <w:r w:rsidRPr="00595617">
        <w:rPr>
          <w:rFonts w:ascii="Palatino Linotype" w:eastAsiaTheme="minorHAnsi" w:hAnsi="Palatino Linotype" w:cs="Times New Roman"/>
          <w:color w:val="000000" w:themeColor="text1"/>
          <w:sz w:val="18"/>
          <w:szCs w:val="18"/>
          <w:lang w:eastAsia="en-US"/>
        </w:rPr>
        <w:t>I.B./Yunanistan Kararı, B.No: 552/10, 03/10/2013, P.72;</w:t>
      </w:r>
      <w:r w:rsidRPr="00595617">
        <w:rPr>
          <w:rFonts w:ascii="Palatino Linotype" w:eastAsiaTheme="minorHAnsi" w:hAnsi="Palatino Linotype"/>
          <w:color w:val="000000" w:themeColor="text1"/>
          <w:sz w:val="18"/>
          <w:szCs w:val="18"/>
          <w:lang w:eastAsia="en-US"/>
        </w:rPr>
        <w:t xml:space="preserve"> </w:t>
      </w:r>
      <w:r w:rsidRPr="00595617">
        <w:rPr>
          <w:rFonts w:ascii="Palatino Linotype" w:eastAsiaTheme="minorHAnsi" w:hAnsi="Palatino Linotype" w:cs="Times New Roman"/>
          <w:color w:val="000000" w:themeColor="text1"/>
          <w:sz w:val="18"/>
          <w:szCs w:val="18"/>
          <w:lang w:eastAsia="en-US"/>
        </w:rPr>
        <w:t>Bigaeva/Yunanistan Kararı, B.No: 26713/05, 28/5/2009; Emel Boyraz/Türkiye Kararı, P.45-46.</w:t>
      </w:r>
    </w:p>
  </w:footnote>
  <w:footnote w:id="215">
    <w:p w14:paraId="2DF166BA" w14:textId="77777777" w:rsidR="00936167" w:rsidRPr="00595617" w:rsidRDefault="00936167" w:rsidP="00595617">
      <w:pPr>
        <w:pStyle w:val="Default"/>
        <w:tabs>
          <w:tab w:val="left" w:pos="284"/>
        </w:tabs>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Keyfi Tutuklamalar Çalışma Grubu, Birleşmiş Milletler İnsan Hakları Komisyonu’nun 1991/42 sayılı kararı ile kurulmuştur. Komisyon 1997/50 sayılı kararı ile Çalışma Grubunun yetkisini genişletmiş ve açıklığa kavuşturmuştur. Genel Kurul’un 60/251 sayılı ve İnsan Hakları Konseyi’nin 1/102 sayılı kararları gereğince Konsey Komisyon’un yetkilerini üstlenmiştir. Konsey, en son 33/30 sayılı kararı ile Çalışma Grubunun yetkisini üç yıl süreyle uzatmıştır. Çalışma yöntemlerinde, başvuruların ilgili ülkedeki iç hukuk yollarının tüketilmemesi nedeniyle değerlendirilmesini engelleyen hiç bir kural bulunmamaktadır.</w:t>
      </w:r>
    </w:p>
  </w:footnote>
  <w:footnote w:id="216">
    <w:p w14:paraId="20FEC95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Birleşmiş Milletler Keyfi Tutuklamalar Çalışma Grubu, Hamza Yaman/Türkiye Kararı, B.No: 78/2018, 21/11/2018, P.86-87.</w:t>
      </w:r>
    </w:p>
  </w:footnote>
  <w:footnote w:id="217">
    <w:p w14:paraId="697F957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ÖNOK Murat, </w:t>
      </w:r>
      <w:r w:rsidRPr="00595617">
        <w:rPr>
          <w:rFonts w:ascii="Palatino Linotype" w:hAnsi="Palatino Linotype" w:cstheme="minorHAnsi"/>
          <w:i/>
          <w:color w:val="000000" w:themeColor="text1"/>
          <w:sz w:val="18"/>
          <w:szCs w:val="18"/>
        </w:rPr>
        <w:t>"Avrupa İnsan Hakları Sözleşmesi Bağlamında Olağanüstü Hal Uygulamaları"</w:t>
      </w:r>
      <w:r w:rsidRPr="00595617">
        <w:rPr>
          <w:rFonts w:ascii="Palatino Linotype" w:hAnsi="Palatino Linotype" w:cstheme="minorHAnsi"/>
          <w:color w:val="000000" w:themeColor="text1"/>
          <w:sz w:val="18"/>
          <w:szCs w:val="18"/>
        </w:rPr>
        <w:t>, KHK'ler Türkiyesinde Savunma Hakkı Paneli, Türkiye Barolar Birliği Yayınları, Ankara, 2016, s.109 vd.</w:t>
      </w:r>
    </w:p>
  </w:footnote>
  <w:footnote w:id="218">
    <w:p w14:paraId="5E956479"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w:t>
      </w:r>
      <w:r w:rsidRPr="00595617">
        <w:rPr>
          <w:rFonts w:ascii="Palatino Linotype" w:eastAsia="MS Mincho" w:hAnsi="Palatino Linotype" w:cstheme="minorHAnsi"/>
          <w:bCs/>
          <w:color w:val="000000" w:themeColor="text1"/>
          <w:sz w:val="18"/>
          <w:szCs w:val="18"/>
        </w:rPr>
        <w:t xml:space="preserve"> Aksoy/Türkiye Kararı, P.68; http://privacy.cyber-rights.org.tr/wp-content/uploads/2017/06/K%C4%B1sa_Aciklama.docx; ÖNOK, s.136.</w:t>
      </w:r>
    </w:p>
  </w:footnote>
  <w:footnote w:id="219">
    <w:p w14:paraId="243C4DED"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BAYAR Oya, "</w:t>
      </w:r>
      <w:r w:rsidRPr="00595617">
        <w:rPr>
          <w:rFonts w:ascii="Palatino Linotype" w:hAnsi="Palatino Linotype" w:cstheme="minorHAnsi"/>
          <w:i/>
          <w:iCs/>
          <w:color w:val="000000" w:themeColor="text1"/>
          <w:sz w:val="18"/>
          <w:szCs w:val="18"/>
        </w:rPr>
        <w:t>Olağanüstü Yönetim Usullerinde Temel Hak ve Özgürlüklere İlişkin Askıya Alma Rejimi</w:t>
      </w:r>
      <w:r w:rsidRPr="00595617">
        <w:rPr>
          <w:rFonts w:ascii="Palatino Linotype" w:hAnsi="Palatino Linotype" w:cstheme="minorHAnsi"/>
          <w:color w:val="000000" w:themeColor="text1"/>
          <w:sz w:val="18"/>
          <w:szCs w:val="18"/>
        </w:rPr>
        <w:t>", İnsan Hakları Avrupa Sözleşmesi ve Anayasa, (Editör: Sibel İnceoğlu), Avrupa Konseyi Yayını, Şen Matbaa, Ankara, 2013, s. 104, ("</w:t>
      </w:r>
      <w:r w:rsidRPr="00595617">
        <w:rPr>
          <w:rFonts w:ascii="Palatino Linotype" w:hAnsi="Palatino Linotype" w:cstheme="minorHAnsi"/>
          <w:i/>
          <w:color w:val="000000" w:themeColor="text1"/>
          <w:sz w:val="18"/>
          <w:szCs w:val="18"/>
        </w:rPr>
        <w:t>Askı</w:t>
      </w:r>
      <w:r w:rsidRPr="00595617">
        <w:rPr>
          <w:rFonts w:ascii="Palatino Linotype" w:hAnsi="Palatino Linotype" w:cstheme="minorHAnsi"/>
          <w:color w:val="000000" w:themeColor="text1"/>
          <w:sz w:val="18"/>
          <w:szCs w:val="18"/>
        </w:rPr>
        <w:t>"); HARRIS/O'BOYLE/BATES/BUCKLEY, s.643-644; ÖNOK, s.119.</w:t>
      </w:r>
    </w:p>
  </w:footnote>
  <w:footnote w:id="220">
    <w:p w14:paraId="38863A04"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ÖNOK, s.124 vd.</w:t>
      </w:r>
    </w:p>
  </w:footnote>
  <w:footnote w:id="221">
    <w:p w14:paraId="106C78C8"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Aksoy/Türkiye Kararı, B. No: 21987/93, 18/12/1996; YOKUŞ, s.116.</w:t>
      </w:r>
    </w:p>
  </w:footnote>
  <w:footnote w:id="222">
    <w:p w14:paraId="2C625584"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ÖNOK, s. 110.</w:t>
      </w:r>
    </w:p>
  </w:footnote>
  <w:footnote w:id="223">
    <w:p w14:paraId="53778005"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AİHM'in Aksoy/Türkiye Kararı; Bilen/Türkiye Kararı, B.No: 34482/97, 21/02/2006; Elçi ve Diğerleri/Türkiye Kararı, B.No:23145/93-25091/94, 13/11/2003; Nuray Şen/Türkiye Kararı, B.No: 41478/98, 17/06/2003.</w:t>
      </w:r>
    </w:p>
  </w:footnote>
  <w:footnote w:id="224">
    <w:p w14:paraId="2A771C34"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AİHM’in Alparslan Altan, Şahin Alpay ve Hasan Mehmet Altan/Türkiye Kararları.</w:t>
      </w:r>
    </w:p>
  </w:footnote>
  <w:footnote w:id="225">
    <w:p w14:paraId="3681CF4F" w14:textId="4C0275CD"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TÜRMEN, s.13.</w:t>
      </w:r>
    </w:p>
  </w:footnote>
  <w:footnote w:id="226">
    <w:p w14:paraId="2CFACA10"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Sakık ve Diğerleri/Türkiye Kararı, B.No: 23883/94, 26/11/1997, P.39;</w:t>
      </w:r>
      <w:r w:rsidRPr="00595617">
        <w:rPr>
          <w:rFonts w:ascii="Palatino Linotype" w:eastAsia="MS Mincho" w:hAnsi="Palatino Linotype" w:cstheme="minorHAnsi"/>
          <w:bCs/>
          <w:color w:val="000000" w:themeColor="text1"/>
          <w:sz w:val="18"/>
          <w:szCs w:val="18"/>
        </w:rPr>
        <w:t xml:space="preserve"> http://privacy.cyber-rights.org.tr/wp-content/uploads/2017/06/K%C4%B1sa_Aciklama.docx.</w:t>
      </w:r>
    </w:p>
  </w:footnote>
  <w:footnote w:id="227">
    <w:p w14:paraId="2C26A2C7"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ÖNOK, s.136.</w:t>
      </w:r>
    </w:p>
  </w:footnote>
  <w:footnote w:id="228">
    <w:p w14:paraId="613F7366"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Human Rights Committee, General Comment 29, States of Emergency (article 4), U.N. Doc. CCPR/C/21/Rev.1/Add.11 (2001), para. 2; </w:t>
      </w:r>
      <w:r w:rsidRPr="00595617">
        <w:rPr>
          <w:rFonts w:ascii="Palatino Linotype" w:eastAsia="MS Mincho" w:hAnsi="Palatino Linotype" w:cstheme="minorHAnsi"/>
          <w:bCs/>
          <w:color w:val="000000" w:themeColor="text1"/>
          <w:sz w:val="18"/>
          <w:szCs w:val="18"/>
        </w:rPr>
        <w:t>http://privacy.cyber-rights.org.tr/wp-content/uploads/2017/06/K%C4%B1sa_Aciklama.docx.</w:t>
      </w:r>
    </w:p>
  </w:footnote>
  <w:footnote w:id="229">
    <w:p w14:paraId="5A3AF85B"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ÖNOK, s.137; </w:t>
      </w:r>
      <w:r w:rsidRPr="00595617">
        <w:rPr>
          <w:rFonts w:ascii="Palatino Linotype" w:eastAsia="MS Mincho" w:hAnsi="Palatino Linotype" w:cstheme="minorHAnsi"/>
          <w:bCs/>
          <w:color w:val="000000" w:themeColor="text1"/>
          <w:sz w:val="18"/>
          <w:szCs w:val="18"/>
        </w:rPr>
        <w:t>http://privacy.cyber-rights.org.tr/wp-content/uploads/2017/06/K%C4%B1sa_Aciklama.docx.</w:t>
      </w:r>
    </w:p>
  </w:footnote>
  <w:footnote w:id="230">
    <w:p w14:paraId="23568EE8" w14:textId="77777777" w:rsidR="00936167" w:rsidRPr="00595617" w:rsidRDefault="00936167" w:rsidP="00595617">
      <w:pPr>
        <w:pStyle w:val="DipnotMetni"/>
        <w:ind w:left="567" w:hanging="567"/>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eastAsia="MS Mincho" w:hAnsi="Palatino Linotype" w:cstheme="minorHAnsi"/>
          <w:bCs/>
          <w:color w:val="000000" w:themeColor="text1"/>
          <w:sz w:val="18"/>
          <w:szCs w:val="18"/>
        </w:rPr>
        <w:t>http://privacy.cyber-rights.org.tr/wp-content/uploads/2017/06/K%C4%B1sa_Aciklama.docx.</w:t>
      </w:r>
    </w:p>
  </w:footnote>
  <w:footnote w:id="231">
    <w:p w14:paraId="4AB51793"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HARRIS/O'BOYLE/BATES/BUCKLEY, s.673; BAYAR, Yetki, s.84 vd.</w:t>
      </w:r>
    </w:p>
  </w:footnote>
  <w:footnote w:id="232">
    <w:p w14:paraId="20562C35"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Avrupa Komisyonu'nun De Becker/Belçika Kararı, B.No: 214/5, 27/3/1962, P.271.</w:t>
      </w:r>
    </w:p>
  </w:footnote>
  <w:footnote w:id="233">
    <w:p w14:paraId="24EAC3DF"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Rasul Jafarov/Azerbaycan Kararı, B.No: 69981/14, 23/02/2016, P.162; Ilgar Mammadov/Azerbaycan Kararı, B.No: 15172/13, 22/5/2014, P.141-144; HARRIS/O'BOYLE/BATES/BUCKLEY, s.674; BAYAR, Yetki, s.93-94.</w:t>
      </w:r>
    </w:p>
  </w:footnote>
  <w:footnote w:id="234">
    <w:p w14:paraId="5D691AF3"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Avrupa Komisyonu'nun De Becker/Belçika Kararı, P.279; HARRIS/O'BOYLE/BATES/BUCKLEY, s.671.</w:t>
      </w:r>
    </w:p>
  </w:footnote>
  <w:footnote w:id="235">
    <w:p w14:paraId="243BCD6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AİHM'in Norwood/Birleşik Krallık Kararı, B.No:23131/03, 2004.</w:t>
      </w:r>
    </w:p>
  </w:footnote>
  <w:footnote w:id="236">
    <w:p w14:paraId="2544665A"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hAnsi="Palatino Linotype" w:cstheme="minorHAnsi"/>
          <w:i/>
          <w:color w:val="000000" w:themeColor="text1"/>
          <w:sz w:val="18"/>
          <w:szCs w:val="18"/>
        </w:rPr>
        <w:t>"18. maddenin özerk bir işlevi bulunmamaktadır. Maddenin ancak Sözleşme'nin diğer maddeleri ile birlikte uygulanması mümkündür. Ancak ilgili madde tek başına ihlal edilmiş olmasa dahi, 18. maddenin başka bir madde ile birlikte ihlal edilmesi söz konusu olabilir. Ayrıca 18. maddenin ifadesinden, bir ihlalin ancak ilgili hak veya özgürlüğün Sözleşme tarafından izin verilen kısıtlamalara tabi tutulduğu durumda ortaya çıkabileceği sonucu çıkmaktadır"</w:t>
      </w:r>
      <w:r w:rsidRPr="00595617">
        <w:rPr>
          <w:rFonts w:ascii="Palatino Linotype" w:hAnsi="Palatino Linotype" w:cstheme="minorHAnsi"/>
          <w:color w:val="000000" w:themeColor="text1"/>
          <w:sz w:val="18"/>
          <w:szCs w:val="18"/>
        </w:rPr>
        <w:t xml:space="preserve"> AİHM'in Gusinskiy/Rusya Kararı, B.No: 70276/01, 10/11/2004, P.73; HARRIS/O'BOYLE/BATES/BUCKLEY, s.673</w:t>
      </w:r>
    </w:p>
  </w:footnote>
  <w:footnote w:id="237">
    <w:p w14:paraId="4C17546D"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 xml:space="preserve">Somut olay açısından şu değerlendirmeyi yaparak ihlal kararı vermiştir </w:t>
      </w:r>
      <w:r w:rsidRPr="00595617">
        <w:rPr>
          <w:rFonts w:ascii="Palatino Linotype" w:hAnsi="Palatino Linotype" w:cs="Times New Roman"/>
          <w:i/>
          <w:color w:val="000000" w:themeColor="text1"/>
          <w:sz w:val="18"/>
          <w:szCs w:val="18"/>
        </w:rPr>
        <w:t xml:space="preserve">"…uluslararası gözlemcilerin rapor ve görüşlerinden, bilhassa İnsan Hakları Komiserinin gözlemlerinden, son yıllardaki gergin siyasi havanın, özellikle olağanüstü hal döneminde, ulusal mahkemelerin belirli kararlarını etkileyebilecek bir ortam oluşturduğu ortaya çıkmaktadır. Bu bağlamda iş bu arka plandan çıkartılan birbiriyle uyumlu sonuçlar, genel olarak muhalif seslerin yansıra muhalefet liderlerinden biri olma konumunu akılda tutarak başvurucunun hareketlerine …yargı makamlarının sert biçimde karşılık verdiği iddiasını desteklemektedir. Mahkeme bu bakımdan hükümetin, böyle suçlamaların temelsiz olabileceğine kendisini inandırabilecek herhangi bir sav getiremediğini not etmektedir …başvurucu kendisini bir ihlalin bireysel bir mağduru olarak görmemektedir. Onun görüşü, esasında siyasal muhalefetin liderlerinden biri olması hasebiyle tutuklu bulundurulduğudur. AİHM böyle bir ihtimalde, sadece bir birey olarak başvurucunun hak ve özgürlüklerinin değil, bütün bir demokratik sistemin kendisinin tehdit altında olduğunun söylenebileceğini değerlendirmektedir. Mahkemeye göre bu tür bir art amaç şüphesiz ki demokrasi için ciddi bir sorun teşkil edecektir. AİHM, başvurucunun tutukluluğunun bilhassa iki kritik kampanya döneminde, yani referandum ve cumhurbaşkanlığı seçiminde, uzatılmasının, çoğulculuğu bastırma ile demokratik bir toplum fikrinin temelinde bulunan siyasi tartışma özgürlüğünü sınırlama şeklinde bir baskın art amaç güttüğünün makul şüphenin ötesinde kanıtlandığına karar vermiştir. Sonuç olarak, 18. madde, 5/3. maddeyle bağlantılı şekilde ihlal edilmiştir." </w:t>
      </w:r>
      <w:r w:rsidRPr="00595617">
        <w:rPr>
          <w:rFonts w:ascii="Palatino Linotype" w:hAnsi="Palatino Linotype"/>
          <w:color w:val="000000" w:themeColor="text1"/>
          <w:sz w:val="18"/>
          <w:szCs w:val="18"/>
        </w:rPr>
        <w:t>AİHM'in Selahattin Demirtaş/Türkiye Kararı, B.No: 14305/17, 20/11/2018., P.258 vd.</w:t>
      </w:r>
    </w:p>
  </w:footnote>
  <w:footnote w:id="238">
    <w:p w14:paraId="360EA93F" w14:textId="77777777" w:rsidR="00936167" w:rsidRPr="00595617" w:rsidRDefault="00936167" w:rsidP="00595617">
      <w:pPr>
        <w:pStyle w:val="DipnotMetni"/>
        <w:ind w:left="567" w:hanging="567"/>
        <w:jc w:val="both"/>
        <w:rPr>
          <w:rFonts w:ascii="Palatino Linotype" w:hAnsi="Palatino Linotype"/>
          <w:color w:val="000000" w:themeColor="text1"/>
          <w:sz w:val="18"/>
          <w:szCs w:val="18"/>
        </w:rPr>
      </w:pPr>
      <w:r w:rsidRPr="00595617">
        <w:rPr>
          <w:rStyle w:val="DipnotBavurusu"/>
          <w:rFonts w:ascii="Palatino Linotype" w:hAnsi="Palatino Linotype"/>
          <w:color w:val="000000" w:themeColor="text1"/>
          <w:sz w:val="18"/>
          <w:szCs w:val="18"/>
          <w:vertAlign w:val="baseline"/>
        </w:rPr>
        <w:footnoteRef/>
      </w:r>
      <w:r w:rsidRPr="00595617">
        <w:rPr>
          <w:rFonts w:ascii="Palatino Linotype" w:hAnsi="Palatino Linotype"/>
          <w:color w:val="000000" w:themeColor="text1"/>
          <w:sz w:val="18"/>
          <w:szCs w:val="18"/>
        </w:rPr>
        <w:t xml:space="preserve"> </w:t>
      </w:r>
      <w:r w:rsidRPr="00595617">
        <w:rPr>
          <w:rFonts w:ascii="Palatino Linotype" w:hAnsi="Palatino Linotype"/>
          <w:color w:val="000000" w:themeColor="text1"/>
          <w:sz w:val="18"/>
          <w:szCs w:val="18"/>
        </w:rPr>
        <w:tab/>
        <w:t>AİHM'in Rasul Jafarov/Azerbaycan Kararı, P.162.</w:t>
      </w:r>
    </w:p>
  </w:footnote>
  <w:footnote w:id="239">
    <w:p w14:paraId="6B7FB2F2"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AYM'nin 10/01/1991 T., 1990/25 E., 1991/1 K. sayılı kararı.</w:t>
      </w:r>
    </w:p>
  </w:footnote>
  <w:footnote w:id="240">
    <w:p w14:paraId="1D00DEAF" w14:textId="52DE79A2"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00595617" w:rsidRPr="00595617">
        <w:rPr>
          <w:rFonts w:ascii="Palatino Linotype" w:hAnsi="Palatino Linotype" w:cstheme="minorHAnsi"/>
          <w:sz w:val="18"/>
          <w:szCs w:val="18"/>
        </w:rPr>
        <w:t xml:space="preserve">GÜNDAY Metin, </w:t>
      </w:r>
      <w:r w:rsidR="00595617" w:rsidRPr="00595617">
        <w:rPr>
          <w:rFonts w:ascii="Palatino Linotype" w:hAnsi="Palatino Linotype" w:cstheme="minorHAnsi"/>
          <w:i/>
          <w:sz w:val="18"/>
          <w:szCs w:val="18"/>
        </w:rPr>
        <w:t>"OHAL İhraç KHK'leri ve Hukuki Durum"</w:t>
      </w:r>
      <w:r w:rsidR="00595617" w:rsidRPr="00595617">
        <w:rPr>
          <w:rFonts w:ascii="Palatino Linotype" w:hAnsi="Palatino Linotype" w:cstheme="minorHAnsi"/>
          <w:sz w:val="18"/>
          <w:szCs w:val="18"/>
        </w:rPr>
        <w:t>, Ankara Barosu Dergisi, Sayı: 2017/1, Ankara, 2017</w:t>
      </w:r>
      <w:r w:rsidR="00595617" w:rsidRPr="00595617">
        <w:rPr>
          <w:rFonts w:ascii="Palatino Linotype" w:hAnsi="Palatino Linotype" w:cstheme="minorHAnsi"/>
          <w:sz w:val="18"/>
          <w:szCs w:val="18"/>
        </w:rPr>
        <w:t>,</w:t>
      </w:r>
      <w:r w:rsidRPr="00595617">
        <w:rPr>
          <w:rFonts w:ascii="Palatino Linotype" w:hAnsi="Palatino Linotype" w:cstheme="minorHAnsi"/>
          <w:color w:val="000000" w:themeColor="text1"/>
          <w:sz w:val="18"/>
          <w:szCs w:val="18"/>
        </w:rPr>
        <w:t xml:space="preserve"> s.29-30; “</w:t>
      </w:r>
      <w:r w:rsidRPr="00595617">
        <w:rPr>
          <w:rFonts w:ascii="Palatino Linotype" w:eastAsia="Times New Roman" w:hAnsi="Palatino Linotype" w:cstheme="minorHAnsi"/>
          <w:i/>
          <w:color w:val="000000" w:themeColor="text1"/>
          <w:sz w:val="18"/>
          <w:szCs w:val="18"/>
        </w:rPr>
        <w:t>Sıkıyönetim komutanlığınca hak ve özgürlüklerin kısıtlanması ve durdurulması yolunda alınan karar ve önlemlerin yürürlük ve etkilerinin sıkıyönetimin kalkmasından sonra da devam etmesine ve giderek bu hak ve özgürlüklerin yok edilmesine yol açacak bir anlayış ve uygulamanın, hem 122. maddenin bu önlemlerin alınmasını sıkıyönetim halinin varlığına bağlayan açık hükmüyle hem de Anayasanın temel hak ve hürriyetlere getirilecek sınırlamaların sınırını belirleyen 13. maddesinin 2. fıkrasıyla bağdaştırılması mümkün değildir. 13. maddenin ikinci fıkrası temel hak ve hürriyetlerle ilgili genel ve özel sınırlamaların "öngörüldükleri amaç dışında" kullanılamayacaklarını özellikle vurgulamış bulunduğu için sıkıyönetim ilanını gerektiren hallerin ortadan kaldırılması amacıyla temel hak ve hürriyetlerin kullanımını "kısıtlayıcı" veya "durdurucu" yönde sıkıyönetim komutanlığınca alınan karar ve önlemlerin sıkıyönetim kalktıktan ve olağan duruma geçildikten sonra da yürürlükte kalabilmelerine hukuken olanak yoktur.”</w:t>
      </w:r>
      <w:r w:rsidRPr="00595617">
        <w:rPr>
          <w:rFonts w:ascii="Palatino Linotype" w:eastAsia="Times New Roman" w:hAnsi="Palatino Linotype" w:cstheme="minorHAnsi"/>
          <w:color w:val="000000" w:themeColor="text1"/>
          <w:sz w:val="18"/>
          <w:szCs w:val="18"/>
        </w:rPr>
        <w:t xml:space="preserve"> Danıştay İçtihadı Birleştirme Genel Kurulunun 07.12.1989 T., </w:t>
      </w:r>
      <w:r w:rsidRPr="00595617">
        <w:rPr>
          <w:rFonts w:ascii="Palatino Linotype" w:eastAsia="Times New Roman" w:hAnsi="Palatino Linotype" w:cstheme="minorHAnsi"/>
          <w:bCs/>
          <w:color w:val="000000" w:themeColor="text1"/>
          <w:sz w:val="18"/>
          <w:szCs w:val="18"/>
        </w:rPr>
        <w:t>1988/6 E., 1989/4 K. sayılı kararı.</w:t>
      </w:r>
    </w:p>
  </w:footnote>
  <w:footnote w:id="241">
    <w:p w14:paraId="456BA149"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 xml:space="preserve">Avrupa Parlamentosu'nun 24/11/2016 tarihinde üyelik müzakerelerinin geçici olarak dondurulmasına ilişkin aldığı kararda; OHAL kapsamında alınan tedbirler ve işten çıkarmaların orantısız olduğu ve müzakerelerin durdurulmasındaki en önemli sebebin, OHAL uygulamaları olduğu belirtilmiştir. Hürriyet Gazetesi, 25/11/2016, s.16.; Venedik Komisyonu’da konuyla ilgili olarak şöyle demiştir; </w:t>
      </w:r>
      <w:r w:rsidRPr="00595617">
        <w:rPr>
          <w:rFonts w:ascii="Palatino Linotype" w:hAnsi="Palatino Linotype" w:cstheme="minorHAnsi"/>
          <w:i/>
          <w:color w:val="000000" w:themeColor="text1"/>
          <w:sz w:val="18"/>
          <w:szCs w:val="18"/>
        </w:rPr>
        <w:t xml:space="preserve">"Hükümet tarafından alınan önlemler Türk Anayasası'nın ve uluslararası hukukun izin verdiğinin çok ötesine geçmiştir. Alınan tedbirler, kamu görevlilerini açığa almaktan çok kovmayı, dernekleri geçici devlet kontrolü altına almaktan çok tasfiye etmeyi içeriyor", </w:t>
      </w:r>
      <w:r w:rsidRPr="00595617">
        <w:rPr>
          <w:rFonts w:ascii="Palatino Linotype" w:hAnsi="Palatino Linotype" w:cstheme="minorHAnsi"/>
          <w:color w:val="000000" w:themeColor="text1"/>
          <w:sz w:val="18"/>
          <w:szCs w:val="18"/>
        </w:rPr>
        <w:t>"</w:t>
      </w:r>
      <w:r w:rsidRPr="00595617">
        <w:rPr>
          <w:rFonts w:ascii="Palatino Linotype" w:hAnsi="Palatino Linotype" w:cstheme="minorHAnsi"/>
          <w:i/>
          <w:iCs/>
          <w:color w:val="000000" w:themeColor="text1"/>
          <w:sz w:val="18"/>
          <w:szCs w:val="18"/>
        </w:rPr>
        <w:t>OHAL Tedbirleri Anayasa'ya Aykırı!</w:t>
      </w:r>
      <w:r w:rsidRPr="00595617">
        <w:rPr>
          <w:rFonts w:ascii="Palatino Linotype" w:hAnsi="Palatino Linotype" w:cstheme="minorHAnsi"/>
          <w:color w:val="000000" w:themeColor="text1"/>
          <w:sz w:val="18"/>
          <w:szCs w:val="18"/>
        </w:rPr>
        <w:t xml:space="preserve">", Cumhuriyet Gazetesi, 10/12/2016, s.5. </w:t>
      </w:r>
    </w:p>
  </w:footnote>
  <w:footnote w:id="242">
    <w:p w14:paraId="4D1752D2"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 xml:space="preserve">HSYK Başkanvekili Mehmet Yılmaz, konuyla ilgili olarak; </w:t>
      </w:r>
      <w:r w:rsidRPr="00595617">
        <w:rPr>
          <w:rFonts w:ascii="Palatino Linotype" w:hAnsi="Palatino Linotype" w:cstheme="minorHAnsi"/>
          <w:i/>
          <w:color w:val="000000" w:themeColor="text1"/>
          <w:sz w:val="18"/>
          <w:szCs w:val="18"/>
        </w:rPr>
        <w:t>"yargı camiasında darbeye karıştığını, bizzat içinde olduğunu ispat ettiğimiz kimse yok! Onu henüz delillendiremedik. Bizim yargıyla ilgili soruşturmanın tamamı silahlı terör üyeliği suçundan dolayı yapılıyor"</w:t>
      </w:r>
      <w:r w:rsidRPr="00595617">
        <w:rPr>
          <w:rFonts w:ascii="Palatino Linotype" w:hAnsi="Palatino Linotype" w:cstheme="minorHAnsi"/>
          <w:color w:val="000000" w:themeColor="text1"/>
          <w:sz w:val="18"/>
          <w:szCs w:val="18"/>
        </w:rPr>
        <w:t xml:space="preserve"> demiştir.</w:t>
      </w:r>
      <w:r w:rsidRPr="00595617">
        <w:rPr>
          <w:rFonts w:ascii="Palatino Linotype" w:hAnsi="Palatino Linotype" w:cstheme="minorHAnsi"/>
          <w:i/>
          <w:color w:val="000000" w:themeColor="text1"/>
          <w:sz w:val="18"/>
          <w:szCs w:val="18"/>
        </w:rPr>
        <w:t xml:space="preserve"> </w:t>
      </w:r>
      <w:r w:rsidRPr="00595617">
        <w:rPr>
          <w:rFonts w:ascii="Palatino Linotype" w:hAnsi="Palatino Linotype" w:cstheme="minorHAnsi"/>
          <w:color w:val="000000" w:themeColor="text1"/>
          <w:sz w:val="18"/>
          <w:szCs w:val="18"/>
        </w:rPr>
        <w:t>http://t24.com.tr/haber/hsyk-baskanvekili-tesvik-etmek-icin-o-aciklamayi-yaptim-goreve-donmeyecekler.</w:t>
      </w:r>
    </w:p>
  </w:footnote>
  <w:footnote w:id="243">
    <w:p w14:paraId="12D1324F"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r>
      <w:r w:rsidRPr="00595617">
        <w:rPr>
          <w:rFonts w:ascii="Palatino Linotype" w:eastAsia="Times New Roman" w:hAnsi="Palatino Linotype" w:cstheme="minorHAnsi"/>
          <w:color w:val="000000" w:themeColor="text1"/>
          <w:sz w:val="18"/>
          <w:szCs w:val="18"/>
        </w:rPr>
        <w:t xml:space="preserve">Danıştay İçtihadı Birleştirme Genel Kurulu'da, 1980 darbesinden sonra 1402 sayılı Kanun'a eklenen bir maddeyle sıkıyönetim komutanlarına verilen </w:t>
      </w:r>
      <w:r w:rsidRPr="00595617">
        <w:rPr>
          <w:rFonts w:ascii="Palatino Linotype" w:eastAsia="Times New Roman" w:hAnsi="Palatino Linotype" w:cstheme="minorHAnsi"/>
          <w:i/>
          <w:color w:val="000000" w:themeColor="text1"/>
          <w:sz w:val="18"/>
          <w:szCs w:val="18"/>
        </w:rPr>
        <w:t>"hizmetleri yararlı olmayan kamu personelinin görev yerinin değiştirilmesi veya görevine son verilmesi"</w:t>
      </w:r>
      <w:r w:rsidRPr="00595617">
        <w:rPr>
          <w:rFonts w:ascii="Palatino Linotype" w:eastAsia="Times New Roman" w:hAnsi="Palatino Linotype" w:cstheme="minorHAnsi"/>
          <w:color w:val="000000" w:themeColor="text1"/>
          <w:sz w:val="18"/>
          <w:szCs w:val="18"/>
        </w:rPr>
        <w:t xml:space="preserve"> yetkisi ile bu yetkiye istinaden görevlerine son verilen kişilerin bir daha kamu hizmetine alınmamalarıyla ilgili verdiği kararında şunları söylemiştir; </w:t>
      </w:r>
      <w:r w:rsidRPr="00595617">
        <w:rPr>
          <w:rFonts w:ascii="Palatino Linotype" w:eastAsia="Times New Roman" w:hAnsi="Palatino Linotype" w:cstheme="minorHAnsi"/>
          <w:i/>
          <w:color w:val="000000" w:themeColor="text1"/>
          <w:sz w:val="18"/>
          <w:szCs w:val="18"/>
        </w:rPr>
        <w:t>"…sıkıyönetim komutanlarına verilen yetki, bu yetkinin kullanılması için gerek yasada açıklanan sebeplerin belirsizliği, gerekse kamu personeli için güvence sağlayacak bir usulün düzenlenmemiş olması yönlerinden kişisel değerlendirmelere, keyfi ve kamu yararı amacı dışında uygulamalara müsait bir yetkidir. Yasada, bu yetkinin kullanılması için gösterilen "hizmetleri yararlı" olmamak sebebinin sıkıyönetimin amacı ve ilanını gerektiren Anayasal nedenlerle hiç bir ilgisi bulunmamaktadır."</w:t>
      </w:r>
      <w:r w:rsidRPr="00595617">
        <w:rPr>
          <w:rFonts w:ascii="Palatino Linotype" w:eastAsia="Times New Roman" w:hAnsi="Palatino Linotype" w:cstheme="minorHAnsi"/>
          <w:color w:val="000000" w:themeColor="text1"/>
          <w:sz w:val="18"/>
          <w:szCs w:val="18"/>
        </w:rPr>
        <w:t xml:space="preserve"> Danıştay İçtihadı Birleştirme Genel Kurulunun 07.12.1989 T., </w:t>
      </w:r>
      <w:r w:rsidRPr="00595617">
        <w:rPr>
          <w:rFonts w:ascii="Palatino Linotype" w:eastAsia="Times New Roman" w:hAnsi="Palatino Linotype" w:cstheme="minorHAnsi"/>
          <w:bCs/>
          <w:color w:val="000000" w:themeColor="text1"/>
          <w:sz w:val="18"/>
          <w:szCs w:val="18"/>
        </w:rPr>
        <w:t>1988/6 E., 1989/4 K. sayılı kararı.</w:t>
      </w:r>
    </w:p>
  </w:footnote>
  <w:footnote w:id="244">
    <w:p w14:paraId="7E83C960"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Style w:val="DipnotKarakterleri"/>
          <w:rFonts w:ascii="Palatino Linotype" w:hAnsi="Palatino Linotype" w:cstheme="minorHAnsi"/>
          <w:color w:val="000000" w:themeColor="text1"/>
          <w:sz w:val="18"/>
          <w:szCs w:val="18"/>
        </w:rPr>
        <w:tab/>
      </w:r>
      <w:r w:rsidRPr="00595617">
        <w:rPr>
          <w:rFonts w:ascii="Palatino Linotype" w:hAnsi="Palatino Linotype" w:cstheme="minorHAnsi"/>
          <w:color w:val="000000" w:themeColor="text1"/>
          <w:sz w:val="18"/>
          <w:szCs w:val="18"/>
        </w:rPr>
        <w:t>ALTINKÖK Serhat, Özgürlük ve Güvenlik Hakkı, Orion Kitapevi, Ankara, 2015, s.276 vd.</w:t>
      </w:r>
    </w:p>
  </w:footnote>
  <w:footnote w:id="245">
    <w:p w14:paraId="20D16F6C" w14:textId="77777777" w:rsidR="00936167" w:rsidRPr="00595617" w:rsidRDefault="00936167" w:rsidP="00595617">
      <w:pPr>
        <w:pStyle w:val="DipnotMetni"/>
        <w:ind w:left="567" w:hanging="567"/>
        <w:jc w:val="both"/>
        <w:rPr>
          <w:rFonts w:ascii="Palatino Linotype" w:hAnsi="Palatino Linotype" w:cstheme="minorHAnsi"/>
          <w:color w:val="000000" w:themeColor="text1"/>
          <w:sz w:val="18"/>
          <w:szCs w:val="18"/>
        </w:rPr>
      </w:pPr>
      <w:r w:rsidRPr="00595617">
        <w:rPr>
          <w:rStyle w:val="DipnotBavurusu"/>
          <w:rFonts w:ascii="Palatino Linotype" w:hAnsi="Palatino Linotype" w:cstheme="minorHAnsi"/>
          <w:color w:val="000000" w:themeColor="text1"/>
          <w:sz w:val="18"/>
          <w:szCs w:val="18"/>
          <w:vertAlign w:val="baseline"/>
        </w:rPr>
        <w:footnoteRef/>
      </w:r>
      <w:r w:rsidRPr="00595617">
        <w:rPr>
          <w:rFonts w:ascii="Palatino Linotype" w:hAnsi="Palatino Linotype" w:cstheme="minorHAnsi"/>
          <w:color w:val="000000" w:themeColor="text1"/>
          <w:sz w:val="18"/>
          <w:szCs w:val="18"/>
        </w:rPr>
        <w:t xml:space="preserve"> </w:t>
      </w:r>
      <w:r w:rsidRPr="00595617">
        <w:rPr>
          <w:rFonts w:ascii="Palatino Linotype" w:hAnsi="Palatino Linotype" w:cstheme="minorHAnsi"/>
          <w:color w:val="000000" w:themeColor="text1"/>
          <w:sz w:val="18"/>
          <w:szCs w:val="18"/>
        </w:rPr>
        <w:tab/>
        <w:t>AYM'nin 04/9/2016 T., 2016/7 (Değişik işler), 2016/12 K. sayılı kararı.</w:t>
      </w:r>
    </w:p>
  </w:footnote>
  <w:footnote w:id="246">
    <w:p w14:paraId="1DAC4C57" w14:textId="77777777" w:rsidR="00936167" w:rsidRPr="00595617" w:rsidRDefault="00936167" w:rsidP="00595617">
      <w:pPr>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 xml:space="preserve">AYM, aynı gerekçelerle yargı mensupları tarafından yapılan başvuruları </w:t>
      </w:r>
      <w:r w:rsidRPr="00595617">
        <w:rPr>
          <w:rFonts w:ascii="Palatino Linotype" w:hAnsi="Palatino Linotype" w:cstheme="minorHAnsi"/>
          <w:i/>
          <w:color w:val="000000" w:themeColor="text1"/>
          <w:sz w:val="18"/>
          <w:szCs w:val="18"/>
        </w:rPr>
        <w:t>“başvuru yollarının tüketilmemesi”</w:t>
      </w:r>
      <w:r w:rsidRPr="00595617">
        <w:rPr>
          <w:rFonts w:ascii="Palatino Linotype" w:hAnsi="Palatino Linotype" w:cstheme="minorHAnsi"/>
          <w:color w:val="000000" w:themeColor="text1"/>
          <w:sz w:val="18"/>
          <w:szCs w:val="18"/>
        </w:rPr>
        <w:t xml:space="preserve"> nedeniyle reddetmiştir. AYM'nin Hacı Osman Kaya Kararı, B.No: 2016/41934, 16/2/2017; Murat Hikmet Çakmakçı Kararı, B.No:2016/35094, 15/2/2017.</w:t>
      </w:r>
    </w:p>
  </w:footnote>
  <w:footnote w:id="247">
    <w:p w14:paraId="75F971BB" w14:textId="77777777" w:rsidR="00936167" w:rsidRPr="00595617" w:rsidRDefault="00936167" w:rsidP="00595617">
      <w:pPr>
        <w:suppressAutoHyphens/>
        <w:spacing w:after="0" w:line="240" w:lineRule="auto"/>
        <w:ind w:left="567" w:hanging="567"/>
        <w:jc w:val="both"/>
        <w:rPr>
          <w:rFonts w:ascii="Palatino Linotype" w:hAnsi="Palatino Linotype" w:cstheme="minorHAnsi"/>
          <w:color w:val="000000" w:themeColor="text1"/>
          <w:sz w:val="18"/>
          <w:szCs w:val="18"/>
        </w:rPr>
      </w:pPr>
      <w:r w:rsidRPr="00595617">
        <w:rPr>
          <w:rStyle w:val="DipnotKarakterleri"/>
          <w:rFonts w:ascii="Palatino Linotype" w:hAnsi="Palatino Linotype" w:cstheme="minorHAnsi"/>
          <w:color w:val="000000" w:themeColor="text1"/>
          <w:sz w:val="18"/>
          <w:szCs w:val="18"/>
        </w:rPr>
        <w:footnoteRef/>
      </w:r>
      <w:r w:rsidRPr="00595617">
        <w:rPr>
          <w:rFonts w:ascii="Palatino Linotype" w:hAnsi="Palatino Linotype" w:cstheme="minorHAnsi"/>
          <w:color w:val="000000" w:themeColor="text1"/>
          <w:sz w:val="18"/>
          <w:szCs w:val="18"/>
        </w:rPr>
        <w:tab/>
        <w:t>AİHM'in Hasan Uzun/Türkiye Kararı, B.No: 10755/13, 30/04/2013, P.25-27; HARRIS/O'BOYLE/BATES/BUCKLEY, s.793; ALTINKÖK, s.273.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4F42"/>
    <w:multiLevelType w:val="hybridMultilevel"/>
    <w:tmpl w:val="CB5AE1BC"/>
    <w:lvl w:ilvl="0" w:tplc="6CAEB290">
      <w:start w:val="3"/>
      <w:numFmt w:val="upperRoman"/>
      <w:lvlText w:val="%1."/>
      <w:lvlJc w:val="left"/>
      <w:pPr>
        <w:ind w:left="2907" w:hanging="72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ED51E2"/>
    <w:multiLevelType w:val="hybridMultilevel"/>
    <w:tmpl w:val="B37E5C14"/>
    <w:lvl w:ilvl="0" w:tplc="7876A8FA">
      <w:start w:val="1"/>
      <w:numFmt w:val="lowerLetter"/>
      <w:lvlText w:val="%1."/>
      <w:lvlJc w:val="left"/>
      <w:pPr>
        <w:ind w:left="927" w:hanging="360"/>
      </w:pPr>
      <w:rPr>
        <w:rFonts w:hint="default"/>
      </w:rPr>
    </w:lvl>
    <w:lvl w:ilvl="1" w:tplc="46466182">
      <w:start w:val="1"/>
      <w:numFmt w:val="upperLetter"/>
      <w:lvlText w:val="%2."/>
      <w:lvlJc w:val="left"/>
      <w:pPr>
        <w:ind w:left="2307" w:hanging="1020"/>
      </w:pPr>
      <w:rPr>
        <w:rFonts w:hint="default"/>
      </w:rPr>
    </w:lvl>
    <w:lvl w:ilvl="2" w:tplc="9288107C">
      <w:start w:val="1"/>
      <w:numFmt w:val="decimal"/>
      <w:lvlText w:val="%3."/>
      <w:lvlJc w:val="left"/>
      <w:pPr>
        <w:ind w:left="2547" w:hanging="360"/>
      </w:pPr>
      <w:rPr>
        <w:rFonts w:hint="default"/>
      </w:r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7737877"/>
    <w:multiLevelType w:val="hybridMultilevel"/>
    <w:tmpl w:val="121C0472"/>
    <w:lvl w:ilvl="0" w:tplc="44BE891E">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0A41214A"/>
    <w:multiLevelType w:val="hybridMultilevel"/>
    <w:tmpl w:val="F23EE888"/>
    <w:lvl w:ilvl="0" w:tplc="3BEC16D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0AEE088F"/>
    <w:multiLevelType w:val="hybridMultilevel"/>
    <w:tmpl w:val="05A62BB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9C6822"/>
    <w:multiLevelType w:val="hybridMultilevel"/>
    <w:tmpl w:val="C7F8202A"/>
    <w:lvl w:ilvl="0" w:tplc="D6F2967A">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0D0237A6"/>
    <w:multiLevelType w:val="hybridMultilevel"/>
    <w:tmpl w:val="60AE731A"/>
    <w:lvl w:ilvl="0" w:tplc="39641F34">
      <w:start w:val="1"/>
      <w:numFmt w:val="upperLetter"/>
      <w:lvlText w:val="%1."/>
      <w:lvlJc w:val="left"/>
      <w:pPr>
        <w:ind w:left="927"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0E2A1A7E"/>
    <w:multiLevelType w:val="hybridMultilevel"/>
    <w:tmpl w:val="43AC9EAA"/>
    <w:lvl w:ilvl="0" w:tplc="15B41E3E">
      <w:start w:val="1"/>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0F195F27"/>
    <w:multiLevelType w:val="hybridMultilevel"/>
    <w:tmpl w:val="7278D47A"/>
    <w:lvl w:ilvl="0" w:tplc="BFBE87B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17EF7202"/>
    <w:multiLevelType w:val="hybridMultilevel"/>
    <w:tmpl w:val="42F63E00"/>
    <w:lvl w:ilvl="0" w:tplc="F9F82C12">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1CFF1776"/>
    <w:multiLevelType w:val="hybridMultilevel"/>
    <w:tmpl w:val="5E9285D4"/>
    <w:lvl w:ilvl="0" w:tplc="A0D6DE7C">
      <w:start w:val="1"/>
      <w:numFmt w:val="upperLetter"/>
      <w:lvlText w:val="%1."/>
      <w:lvlJc w:val="left"/>
      <w:pPr>
        <w:ind w:left="1619" w:hanging="1335"/>
      </w:pPr>
      <w:rPr>
        <w:rFonts w:hint="default"/>
        <w:b/>
        <w:bCs/>
      </w:rPr>
    </w:lvl>
    <w:lvl w:ilvl="1" w:tplc="FF9EDE1A">
      <w:start w:val="1"/>
      <w:numFmt w:val="lowerLetter"/>
      <w:lvlText w:val="%2."/>
      <w:lvlJc w:val="left"/>
      <w:pPr>
        <w:ind w:left="1648" w:hanging="360"/>
      </w:pPr>
      <w:rPr>
        <w:rFonts w:hint="default"/>
      </w:r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1" w15:restartNumberingAfterBreak="0">
    <w:nsid w:val="21C0012A"/>
    <w:multiLevelType w:val="hybridMultilevel"/>
    <w:tmpl w:val="5686ADCC"/>
    <w:lvl w:ilvl="0" w:tplc="1756A872">
      <w:start w:val="1"/>
      <w:numFmt w:val="lowerLetter"/>
      <w:lvlText w:val="%1."/>
      <w:lvlJc w:val="left"/>
      <w:pPr>
        <w:ind w:left="927" w:hanging="360"/>
      </w:pPr>
      <w:rPr>
        <w:rFonts w:ascii="Palatino Linotype" w:hAnsi="Palatino Linotype" w:hint="default"/>
        <w:i w:val="0"/>
        <w:color w:val="auto"/>
        <w:sz w:val="23"/>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24DC57ED"/>
    <w:multiLevelType w:val="hybridMultilevel"/>
    <w:tmpl w:val="9B5A77E2"/>
    <w:lvl w:ilvl="0" w:tplc="E2380C50">
      <w:start w:val="1"/>
      <w:numFmt w:val="lowerRoman"/>
      <w:lvlText w:val="%1."/>
      <w:lvlJc w:val="left"/>
      <w:pPr>
        <w:ind w:left="1347" w:hanging="720"/>
      </w:pPr>
      <w:rPr>
        <w:rFonts w:hint="default"/>
        <w:b/>
      </w:rPr>
    </w:lvl>
    <w:lvl w:ilvl="1" w:tplc="041F0019" w:tentative="1">
      <w:start w:val="1"/>
      <w:numFmt w:val="lowerLetter"/>
      <w:lvlText w:val="%2."/>
      <w:lvlJc w:val="left"/>
      <w:pPr>
        <w:ind w:left="1707" w:hanging="360"/>
      </w:pPr>
    </w:lvl>
    <w:lvl w:ilvl="2" w:tplc="041F001B" w:tentative="1">
      <w:start w:val="1"/>
      <w:numFmt w:val="lowerRoman"/>
      <w:lvlText w:val="%3."/>
      <w:lvlJc w:val="right"/>
      <w:pPr>
        <w:ind w:left="2427" w:hanging="180"/>
      </w:pPr>
    </w:lvl>
    <w:lvl w:ilvl="3" w:tplc="041F000F" w:tentative="1">
      <w:start w:val="1"/>
      <w:numFmt w:val="decimal"/>
      <w:lvlText w:val="%4."/>
      <w:lvlJc w:val="left"/>
      <w:pPr>
        <w:ind w:left="3147" w:hanging="360"/>
      </w:pPr>
    </w:lvl>
    <w:lvl w:ilvl="4" w:tplc="041F0019" w:tentative="1">
      <w:start w:val="1"/>
      <w:numFmt w:val="lowerLetter"/>
      <w:lvlText w:val="%5."/>
      <w:lvlJc w:val="left"/>
      <w:pPr>
        <w:ind w:left="3867" w:hanging="360"/>
      </w:pPr>
    </w:lvl>
    <w:lvl w:ilvl="5" w:tplc="041F001B" w:tentative="1">
      <w:start w:val="1"/>
      <w:numFmt w:val="lowerRoman"/>
      <w:lvlText w:val="%6."/>
      <w:lvlJc w:val="right"/>
      <w:pPr>
        <w:ind w:left="4587" w:hanging="180"/>
      </w:pPr>
    </w:lvl>
    <w:lvl w:ilvl="6" w:tplc="041F000F" w:tentative="1">
      <w:start w:val="1"/>
      <w:numFmt w:val="decimal"/>
      <w:lvlText w:val="%7."/>
      <w:lvlJc w:val="left"/>
      <w:pPr>
        <w:ind w:left="5307" w:hanging="360"/>
      </w:pPr>
    </w:lvl>
    <w:lvl w:ilvl="7" w:tplc="041F0019" w:tentative="1">
      <w:start w:val="1"/>
      <w:numFmt w:val="lowerLetter"/>
      <w:lvlText w:val="%8."/>
      <w:lvlJc w:val="left"/>
      <w:pPr>
        <w:ind w:left="6027" w:hanging="360"/>
      </w:pPr>
    </w:lvl>
    <w:lvl w:ilvl="8" w:tplc="041F001B" w:tentative="1">
      <w:start w:val="1"/>
      <w:numFmt w:val="lowerRoman"/>
      <w:lvlText w:val="%9."/>
      <w:lvlJc w:val="right"/>
      <w:pPr>
        <w:ind w:left="6747" w:hanging="180"/>
      </w:pPr>
    </w:lvl>
  </w:abstractNum>
  <w:abstractNum w:abstractNumId="13" w15:restartNumberingAfterBreak="0">
    <w:nsid w:val="25A7388E"/>
    <w:multiLevelType w:val="hybridMultilevel"/>
    <w:tmpl w:val="45924138"/>
    <w:lvl w:ilvl="0" w:tplc="34FE6D6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266A6021"/>
    <w:multiLevelType w:val="hybridMultilevel"/>
    <w:tmpl w:val="77ACA290"/>
    <w:lvl w:ilvl="0" w:tplc="247E689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27BF0D5F"/>
    <w:multiLevelType w:val="hybridMultilevel"/>
    <w:tmpl w:val="B99626F4"/>
    <w:lvl w:ilvl="0" w:tplc="247E689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2E6D4193"/>
    <w:multiLevelType w:val="hybridMultilevel"/>
    <w:tmpl w:val="D46858BA"/>
    <w:lvl w:ilvl="0" w:tplc="943C2A64">
      <w:start w:val="1"/>
      <w:numFmt w:val="decimal"/>
      <w:lvlText w:val="%1."/>
      <w:lvlJc w:val="left"/>
      <w:pPr>
        <w:ind w:left="927" w:hanging="360"/>
      </w:pPr>
      <w:rPr>
        <w:rFonts w:hint="default"/>
      </w:rPr>
    </w:lvl>
    <w:lvl w:ilvl="1" w:tplc="FDAC5CD0">
      <w:start w:val="1"/>
      <w:numFmt w:val="upperLetter"/>
      <w:lvlText w:val="%2."/>
      <w:lvlJc w:val="left"/>
      <w:pPr>
        <w:ind w:left="1647" w:hanging="360"/>
      </w:pPr>
      <w:rPr>
        <w:rFonts w:hint="default"/>
      </w:rPr>
    </w:lvl>
    <w:lvl w:ilvl="2" w:tplc="6CAEB290">
      <w:start w:val="3"/>
      <w:numFmt w:val="upperRoman"/>
      <w:lvlText w:val="%3."/>
      <w:lvlJc w:val="left"/>
      <w:pPr>
        <w:ind w:left="2907" w:hanging="720"/>
      </w:pPr>
      <w:rPr>
        <w:rFonts w:hint="default"/>
      </w:r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33075D4B"/>
    <w:multiLevelType w:val="hybridMultilevel"/>
    <w:tmpl w:val="43E28C64"/>
    <w:lvl w:ilvl="0" w:tplc="3474B312">
      <w:start w:val="1"/>
      <w:numFmt w:val="lowerRoman"/>
      <w:lvlText w:val="%1."/>
      <w:lvlJc w:val="left"/>
      <w:pPr>
        <w:ind w:left="1287" w:hanging="72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347E7764"/>
    <w:multiLevelType w:val="hybridMultilevel"/>
    <w:tmpl w:val="DA26A5EC"/>
    <w:lvl w:ilvl="0" w:tplc="6F9AE65C">
      <w:start w:val="1"/>
      <w:numFmt w:val="lowerLetter"/>
      <w:lvlText w:val="%1."/>
      <w:lvlJc w:val="left"/>
      <w:pPr>
        <w:ind w:left="927" w:hanging="360"/>
      </w:pPr>
      <w:rPr>
        <w:rFonts w:hint="default"/>
      </w:rPr>
    </w:lvl>
    <w:lvl w:ilvl="1" w:tplc="828A5E70">
      <w:start w:val="1"/>
      <w:numFmt w:val="upperLetter"/>
      <w:lvlText w:val="%2."/>
      <w:lvlJc w:val="left"/>
      <w:pPr>
        <w:ind w:left="1647" w:hanging="360"/>
      </w:pPr>
      <w:rPr>
        <w:rFonts w:hint="default"/>
      </w:rPr>
    </w:lvl>
    <w:lvl w:ilvl="2" w:tplc="3E0CDD2C">
      <w:start w:val="1"/>
      <w:numFmt w:val="decimal"/>
      <w:lvlText w:val="%3."/>
      <w:lvlJc w:val="left"/>
      <w:pPr>
        <w:ind w:left="2547" w:hanging="360"/>
      </w:pPr>
      <w:rPr>
        <w:rFonts w:hint="default"/>
        <w:i w:val="0"/>
      </w:r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35B40881"/>
    <w:multiLevelType w:val="hybridMultilevel"/>
    <w:tmpl w:val="A4CE1B0C"/>
    <w:lvl w:ilvl="0" w:tplc="FD06746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37073DB3"/>
    <w:multiLevelType w:val="hybridMultilevel"/>
    <w:tmpl w:val="96083164"/>
    <w:lvl w:ilvl="0" w:tplc="FDAC5CD0">
      <w:start w:val="1"/>
      <w:numFmt w:val="upperLetter"/>
      <w:lvlText w:val="%1."/>
      <w:lvlJc w:val="left"/>
      <w:pPr>
        <w:ind w:left="1440" w:hanging="360"/>
      </w:pPr>
      <w:rPr>
        <w:rFonts w:hint="default"/>
      </w:rPr>
    </w:lvl>
    <w:lvl w:ilvl="1" w:tplc="041F0019" w:tentative="1">
      <w:start w:val="1"/>
      <w:numFmt w:val="lowerLetter"/>
      <w:lvlText w:val="%2."/>
      <w:lvlJc w:val="left"/>
      <w:pPr>
        <w:ind w:left="1233" w:hanging="360"/>
      </w:pPr>
    </w:lvl>
    <w:lvl w:ilvl="2" w:tplc="041F001B" w:tentative="1">
      <w:start w:val="1"/>
      <w:numFmt w:val="lowerRoman"/>
      <w:lvlText w:val="%3."/>
      <w:lvlJc w:val="right"/>
      <w:pPr>
        <w:ind w:left="1953" w:hanging="180"/>
      </w:pPr>
    </w:lvl>
    <w:lvl w:ilvl="3" w:tplc="041F000F" w:tentative="1">
      <w:start w:val="1"/>
      <w:numFmt w:val="decimal"/>
      <w:lvlText w:val="%4."/>
      <w:lvlJc w:val="left"/>
      <w:pPr>
        <w:ind w:left="2673" w:hanging="360"/>
      </w:pPr>
    </w:lvl>
    <w:lvl w:ilvl="4" w:tplc="041F0019" w:tentative="1">
      <w:start w:val="1"/>
      <w:numFmt w:val="lowerLetter"/>
      <w:lvlText w:val="%5."/>
      <w:lvlJc w:val="left"/>
      <w:pPr>
        <w:ind w:left="3393" w:hanging="360"/>
      </w:pPr>
    </w:lvl>
    <w:lvl w:ilvl="5" w:tplc="041F001B" w:tentative="1">
      <w:start w:val="1"/>
      <w:numFmt w:val="lowerRoman"/>
      <w:lvlText w:val="%6."/>
      <w:lvlJc w:val="right"/>
      <w:pPr>
        <w:ind w:left="4113" w:hanging="180"/>
      </w:pPr>
    </w:lvl>
    <w:lvl w:ilvl="6" w:tplc="041F000F" w:tentative="1">
      <w:start w:val="1"/>
      <w:numFmt w:val="decimal"/>
      <w:lvlText w:val="%7."/>
      <w:lvlJc w:val="left"/>
      <w:pPr>
        <w:ind w:left="4833" w:hanging="360"/>
      </w:pPr>
    </w:lvl>
    <w:lvl w:ilvl="7" w:tplc="041F0019" w:tentative="1">
      <w:start w:val="1"/>
      <w:numFmt w:val="lowerLetter"/>
      <w:lvlText w:val="%8."/>
      <w:lvlJc w:val="left"/>
      <w:pPr>
        <w:ind w:left="5553" w:hanging="360"/>
      </w:pPr>
    </w:lvl>
    <w:lvl w:ilvl="8" w:tplc="041F001B" w:tentative="1">
      <w:start w:val="1"/>
      <w:numFmt w:val="lowerRoman"/>
      <w:lvlText w:val="%9."/>
      <w:lvlJc w:val="right"/>
      <w:pPr>
        <w:ind w:left="6273" w:hanging="180"/>
      </w:pPr>
    </w:lvl>
  </w:abstractNum>
  <w:abstractNum w:abstractNumId="21" w15:restartNumberingAfterBreak="0">
    <w:nsid w:val="372828A5"/>
    <w:multiLevelType w:val="hybridMultilevel"/>
    <w:tmpl w:val="0284FA60"/>
    <w:lvl w:ilvl="0" w:tplc="8C46BF0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2" w15:restartNumberingAfterBreak="0">
    <w:nsid w:val="3A477615"/>
    <w:multiLevelType w:val="hybridMultilevel"/>
    <w:tmpl w:val="5E36901C"/>
    <w:lvl w:ilvl="0" w:tplc="660C6078">
      <w:start w:val="4"/>
      <w:numFmt w:val="upperLetter"/>
      <w:lvlText w:val="%1."/>
      <w:lvlJc w:val="left"/>
      <w:pPr>
        <w:ind w:left="1902" w:hanging="13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C622B9D"/>
    <w:multiLevelType w:val="hybridMultilevel"/>
    <w:tmpl w:val="102E1DF4"/>
    <w:lvl w:ilvl="0" w:tplc="DB84F21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4" w15:restartNumberingAfterBreak="0">
    <w:nsid w:val="3CFA09C0"/>
    <w:multiLevelType w:val="hybridMultilevel"/>
    <w:tmpl w:val="91E0D778"/>
    <w:lvl w:ilvl="0" w:tplc="FD06746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5" w15:restartNumberingAfterBreak="0">
    <w:nsid w:val="41D841BE"/>
    <w:multiLevelType w:val="hybridMultilevel"/>
    <w:tmpl w:val="F5A0861E"/>
    <w:lvl w:ilvl="0" w:tplc="B824BEBE">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6" w15:restartNumberingAfterBreak="0">
    <w:nsid w:val="48DE3A99"/>
    <w:multiLevelType w:val="hybridMultilevel"/>
    <w:tmpl w:val="F620D946"/>
    <w:lvl w:ilvl="0" w:tplc="086C5306">
      <w:start w:val="1"/>
      <w:numFmt w:val="decimal"/>
      <w:lvlText w:val="%1."/>
      <w:lvlJc w:val="left"/>
      <w:pPr>
        <w:ind w:left="927" w:hanging="360"/>
      </w:pPr>
      <w:rPr>
        <w:rFonts w:hint="default"/>
        <w:i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49C37E64"/>
    <w:multiLevelType w:val="hybridMultilevel"/>
    <w:tmpl w:val="4A5278A4"/>
    <w:lvl w:ilvl="0" w:tplc="EFB47B3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8" w15:restartNumberingAfterBreak="0">
    <w:nsid w:val="4C8D7859"/>
    <w:multiLevelType w:val="hybridMultilevel"/>
    <w:tmpl w:val="1430D8F2"/>
    <w:lvl w:ilvl="0" w:tplc="E5D478D4">
      <w:start w:val="1"/>
      <w:numFmt w:val="lowerLetter"/>
      <w:lvlText w:val="%1."/>
      <w:lvlJc w:val="left"/>
      <w:pPr>
        <w:ind w:left="927" w:hanging="360"/>
      </w:pPr>
      <w:rPr>
        <w:rFonts w:ascii="Palatino Linotype" w:hAnsi="Palatino Linotype" w:hint="default"/>
        <w:i w:val="0"/>
        <w:color w:val="auto"/>
        <w:sz w:val="23"/>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9" w15:restartNumberingAfterBreak="0">
    <w:nsid w:val="4D0753EC"/>
    <w:multiLevelType w:val="hybridMultilevel"/>
    <w:tmpl w:val="F00699A0"/>
    <w:lvl w:ilvl="0" w:tplc="42540B20">
      <w:start w:val="1"/>
      <w:numFmt w:val="decimal"/>
      <w:lvlText w:val="%1."/>
      <w:lvlJc w:val="left"/>
      <w:pPr>
        <w:ind w:left="927" w:hanging="360"/>
      </w:pPr>
      <w:rPr>
        <w:rFonts w:ascii="Palatino Linotype" w:hAnsi="Palatino Linotype" w:hint="default"/>
        <w:color w:val="auto"/>
        <w:sz w:val="23"/>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0" w15:restartNumberingAfterBreak="0">
    <w:nsid w:val="506A38B9"/>
    <w:multiLevelType w:val="hybridMultilevel"/>
    <w:tmpl w:val="7EC0FBBA"/>
    <w:lvl w:ilvl="0" w:tplc="4AEE1388">
      <w:start w:val="3"/>
      <w:numFmt w:val="upperRoman"/>
      <w:lvlText w:val="%1."/>
      <w:lvlJc w:val="left"/>
      <w:pPr>
        <w:ind w:left="1287"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0DA0132"/>
    <w:multiLevelType w:val="hybridMultilevel"/>
    <w:tmpl w:val="D94021A2"/>
    <w:lvl w:ilvl="0" w:tplc="8D1C0F0C">
      <w:start w:val="1"/>
      <w:numFmt w:val="upperLetter"/>
      <w:lvlText w:val="%1."/>
      <w:lvlJc w:val="left"/>
      <w:pPr>
        <w:ind w:left="1632" w:hanging="1065"/>
      </w:pPr>
      <w:rPr>
        <w:rFonts w:hint="default"/>
      </w:rPr>
    </w:lvl>
    <w:lvl w:ilvl="1" w:tplc="9F2CE7E2">
      <w:start w:val="1"/>
      <w:numFmt w:val="decimal"/>
      <w:lvlText w:val="%2."/>
      <w:lvlJc w:val="left"/>
      <w:pPr>
        <w:ind w:left="1647" w:hanging="360"/>
      </w:pPr>
      <w:rPr>
        <w:rFonts w:hint="default"/>
      </w:r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2" w15:restartNumberingAfterBreak="0">
    <w:nsid w:val="51197539"/>
    <w:multiLevelType w:val="hybridMultilevel"/>
    <w:tmpl w:val="71AA134E"/>
    <w:lvl w:ilvl="0" w:tplc="00FE4AB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3" w15:restartNumberingAfterBreak="0">
    <w:nsid w:val="53E83134"/>
    <w:multiLevelType w:val="hybridMultilevel"/>
    <w:tmpl w:val="725A7990"/>
    <w:lvl w:ilvl="0" w:tplc="D0E2E6F4">
      <w:start w:val="1"/>
      <w:numFmt w:val="decimal"/>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4" w15:restartNumberingAfterBreak="0">
    <w:nsid w:val="5430050B"/>
    <w:multiLevelType w:val="hybridMultilevel"/>
    <w:tmpl w:val="F75627C2"/>
    <w:lvl w:ilvl="0" w:tplc="528C51E2">
      <w:start w:val="1"/>
      <w:numFmt w:val="lowerRoman"/>
      <w:lvlText w:val="%1."/>
      <w:lvlJc w:val="left"/>
      <w:pPr>
        <w:ind w:left="1287" w:hanging="72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5" w15:restartNumberingAfterBreak="0">
    <w:nsid w:val="55420B3A"/>
    <w:multiLevelType w:val="multilevel"/>
    <w:tmpl w:val="D9E82096"/>
    <w:lvl w:ilvl="0">
      <w:start w:val="1"/>
      <w:numFmt w:val="decimal"/>
      <w:pStyle w:val="Balk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7452C69"/>
    <w:multiLevelType w:val="hybridMultilevel"/>
    <w:tmpl w:val="2C8C5568"/>
    <w:lvl w:ilvl="0" w:tplc="15441512">
      <w:start w:val="1"/>
      <w:numFmt w:val="upperRoman"/>
      <w:lvlText w:val="%1."/>
      <w:lvlJc w:val="left"/>
      <w:pPr>
        <w:ind w:left="1287" w:hanging="720"/>
      </w:pPr>
      <w:rPr>
        <w:rFonts w:hint="default"/>
      </w:rPr>
    </w:lvl>
    <w:lvl w:ilvl="1" w:tplc="D0C4A144">
      <w:start w:val="1"/>
      <w:numFmt w:val="upperLetter"/>
      <w:lvlText w:val="%2."/>
      <w:lvlJc w:val="left"/>
      <w:pPr>
        <w:ind w:left="1647" w:hanging="360"/>
      </w:pPr>
      <w:rPr>
        <w:rFonts w:hint="default"/>
      </w:rPr>
    </w:lvl>
    <w:lvl w:ilvl="2" w:tplc="80804EB6">
      <w:start w:val="1"/>
      <w:numFmt w:val="decimal"/>
      <w:lvlText w:val="%3."/>
      <w:lvlJc w:val="left"/>
      <w:pPr>
        <w:ind w:left="2547" w:hanging="360"/>
      </w:pPr>
      <w:rPr>
        <w:rFonts w:hint="default"/>
      </w:r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7" w15:restartNumberingAfterBreak="0">
    <w:nsid w:val="597A66E7"/>
    <w:multiLevelType w:val="hybridMultilevel"/>
    <w:tmpl w:val="EABA6A30"/>
    <w:lvl w:ilvl="0" w:tplc="9790D82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8" w15:restartNumberingAfterBreak="0">
    <w:nsid w:val="5C144196"/>
    <w:multiLevelType w:val="hybridMultilevel"/>
    <w:tmpl w:val="993AAA50"/>
    <w:lvl w:ilvl="0" w:tplc="144C2144">
      <w:start w:val="1"/>
      <w:numFmt w:val="decimal"/>
      <w:lvlText w:val="%1."/>
      <w:lvlJc w:val="left"/>
      <w:pPr>
        <w:ind w:left="927" w:hanging="360"/>
      </w:pPr>
      <w:rPr>
        <w:rFonts w:hint="default"/>
      </w:rPr>
    </w:lvl>
    <w:lvl w:ilvl="1" w:tplc="805A72D2">
      <w:start w:val="1"/>
      <w:numFmt w:val="upperLetter"/>
      <w:lvlText w:val="%2."/>
      <w:lvlJc w:val="left"/>
      <w:pPr>
        <w:ind w:left="1647" w:hanging="360"/>
      </w:pPr>
      <w:rPr>
        <w:rFonts w:hint="default"/>
      </w:r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9" w15:restartNumberingAfterBreak="0">
    <w:nsid w:val="5F905B73"/>
    <w:multiLevelType w:val="hybridMultilevel"/>
    <w:tmpl w:val="DDFE1B7A"/>
    <w:lvl w:ilvl="0" w:tplc="6E5AF19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0" w15:restartNumberingAfterBreak="0">
    <w:nsid w:val="5FCD7A3C"/>
    <w:multiLevelType w:val="hybridMultilevel"/>
    <w:tmpl w:val="1408E0C4"/>
    <w:lvl w:ilvl="0" w:tplc="4F224E06">
      <w:start w:val="1"/>
      <w:numFmt w:val="upperLetter"/>
      <w:lvlText w:val="%1."/>
      <w:lvlJc w:val="left"/>
      <w:pPr>
        <w:ind w:left="1440" w:hanging="360"/>
      </w:pPr>
      <w:rPr>
        <w:rFonts w:hint="default"/>
        <w:i w:val="0"/>
      </w:rPr>
    </w:lvl>
    <w:lvl w:ilvl="1" w:tplc="041F0019" w:tentative="1">
      <w:start w:val="1"/>
      <w:numFmt w:val="lowerLetter"/>
      <w:lvlText w:val="%2."/>
      <w:lvlJc w:val="left"/>
      <w:pPr>
        <w:ind w:left="1233" w:hanging="360"/>
      </w:pPr>
    </w:lvl>
    <w:lvl w:ilvl="2" w:tplc="041F001B" w:tentative="1">
      <w:start w:val="1"/>
      <w:numFmt w:val="lowerRoman"/>
      <w:lvlText w:val="%3."/>
      <w:lvlJc w:val="right"/>
      <w:pPr>
        <w:ind w:left="1953" w:hanging="180"/>
      </w:pPr>
    </w:lvl>
    <w:lvl w:ilvl="3" w:tplc="041F000F" w:tentative="1">
      <w:start w:val="1"/>
      <w:numFmt w:val="decimal"/>
      <w:lvlText w:val="%4."/>
      <w:lvlJc w:val="left"/>
      <w:pPr>
        <w:ind w:left="2673" w:hanging="360"/>
      </w:pPr>
    </w:lvl>
    <w:lvl w:ilvl="4" w:tplc="041F0019" w:tentative="1">
      <w:start w:val="1"/>
      <w:numFmt w:val="lowerLetter"/>
      <w:lvlText w:val="%5."/>
      <w:lvlJc w:val="left"/>
      <w:pPr>
        <w:ind w:left="3393" w:hanging="360"/>
      </w:pPr>
    </w:lvl>
    <w:lvl w:ilvl="5" w:tplc="041F001B" w:tentative="1">
      <w:start w:val="1"/>
      <w:numFmt w:val="lowerRoman"/>
      <w:lvlText w:val="%6."/>
      <w:lvlJc w:val="right"/>
      <w:pPr>
        <w:ind w:left="4113" w:hanging="180"/>
      </w:pPr>
    </w:lvl>
    <w:lvl w:ilvl="6" w:tplc="041F000F" w:tentative="1">
      <w:start w:val="1"/>
      <w:numFmt w:val="decimal"/>
      <w:lvlText w:val="%7."/>
      <w:lvlJc w:val="left"/>
      <w:pPr>
        <w:ind w:left="4833" w:hanging="360"/>
      </w:pPr>
    </w:lvl>
    <w:lvl w:ilvl="7" w:tplc="041F0019" w:tentative="1">
      <w:start w:val="1"/>
      <w:numFmt w:val="lowerLetter"/>
      <w:lvlText w:val="%8."/>
      <w:lvlJc w:val="left"/>
      <w:pPr>
        <w:ind w:left="5553" w:hanging="360"/>
      </w:pPr>
    </w:lvl>
    <w:lvl w:ilvl="8" w:tplc="041F001B" w:tentative="1">
      <w:start w:val="1"/>
      <w:numFmt w:val="lowerRoman"/>
      <w:lvlText w:val="%9."/>
      <w:lvlJc w:val="right"/>
      <w:pPr>
        <w:ind w:left="6273" w:hanging="180"/>
      </w:pPr>
    </w:lvl>
  </w:abstractNum>
  <w:abstractNum w:abstractNumId="41" w15:restartNumberingAfterBreak="0">
    <w:nsid w:val="616100E5"/>
    <w:multiLevelType w:val="hybridMultilevel"/>
    <w:tmpl w:val="F75AF69A"/>
    <w:lvl w:ilvl="0" w:tplc="385ED374">
      <w:start w:val="1"/>
      <w:numFmt w:val="decimal"/>
      <w:lvlText w:val="%1."/>
      <w:lvlJc w:val="left"/>
      <w:pPr>
        <w:ind w:left="786" w:hanging="360"/>
      </w:p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2" w15:restartNumberingAfterBreak="0">
    <w:nsid w:val="63050A52"/>
    <w:multiLevelType w:val="hybridMultilevel"/>
    <w:tmpl w:val="18EEC76A"/>
    <w:lvl w:ilvl="0" w:tplc="15441512">
      <w:start w:val="1"/>
      <w:numFmt w:val="upp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3" w15:restartNumberingAfterBreak="0">
    <w:nsid w:val="660F1D01"/>
    <w:multiLevelType w:val="hybridMultilevel"/>
    <w:tmpl w:val="31E4703A"/>
    <w:lvl w:ilvl="0" w:tplc="FD06746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4" w15:restartNumberingAfterBreak="0">
    <w:nsid w:val="670A2CF4"/>
    <w:multiLevelType w:val="hybridMultilevel"/>
    <w:tmpl w:val="927AF3BE"/>
    <w:lvl w:ilvl="0" w:tplc="5C3267A6">
      <w:start w:val="1"/>
      <w:numFmt w:val="decimal"/>
      <w:lvlText w:val="%1."/>
      <w:lvlJc w:val="left"/>
      <w:pPr>
        <w:ind w:left="927" w:hanging="360"/>
      </w:pPr>
      <w:rPr>
        <w:rFonts w:hint="default"/>
      </w:rPr>
    </w:lvl>
    <w:lvl w:ilvl="1" w:tplc="50B47DB0">
      <w:start w:val="1"/>
      <w:numFmt w:val="upperLetter"/>
      <w:lvlText w:val="%2."/>
      <w:lvlJc w:val="left"/>
      <w:pPr>
        <w:ind w:left="1647" w:hanging="360"/>
      </w:pPr>
      <w:rPr>
        <w:rFonts w:hint="default"/>
      </w:r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5" w15:restartNumberingAfterBreak="0">
    <w:nsid w:val="68DC04C3"/>
    <w:multiLevelType w:val="hybridMultilevel"/>
    <w:tmpl w:val="98265DA4"/>
    <w:lvl w:ilvl="0" w:tplc="E52097D8">
      <w:start w:val="1"/>
      <w:numFmt w:val="decimal"/>
      <w:lvlText w:val="%1-"/>
      <w:lvlJc w:val="left"/>
      <w:pPr>
        <w:ind w:left="360" w:hanging="360"/>
      </w:pPr>
      <w:rPr>
        <w:rFonts w:cs="Times New Roman" w:hint="default"/>
        <w:b/>
        <w:bCs/>
        <w:color w:val="auto"/>
        <w:sz w:val="18"/>
        <w:szCs w:val="18"/>
      </w:rPr>
    </w:lvl>
    <w:lvl w:ilvl="1" w:tplc="041F0019">
      <w:start w:val="1"/>
      <w:numFmt w:val="lowerLetter"/>
      <w:lvlText w:val="%2."/>
      <w:lvlJc w:val="left"/>
      <w:pPr>
        <w:ind w:left="1080" w:hanging="360"/>
      </w:pPr>
      <w:rPr>
        <w:rFonts w:cs="Times New Roman"/>
      </w:rPr>
    </w:lvl>
    <w:lvl w:ilvl="2" w:tplc="041F001B">
      <w:start w:val="1"/>
      <w:numFmt w:val="lowerRoman"/>
      <w:lvlText w:val="%3."/>
      <w:lvlJc w:val="right"/>
      <w:pPr>
        <w:ind w:left="1800" w:hanging="180"/>
      </w:pPr>
      <w:rPr>
        <w:rFonts w:cs="Times New Roman"/>
      </w:rPr>
    </w:lvl>
    <w:lvl w:ilvl="3" w:tplc="041F000F">
      <w:start w:val="1"/>
      <w:numFmt w:val="decimal"/>
      <w:lvlText w:val="%4."/>
      <w:lvlJc w:val="left"/>
      <w:pPr>
        <w:ind w:left="2520" w:hanging="360"/>
      </w:pPr>
      <w:rPr>
        <w:rFonts w:cs="Times New Roman"/>
      </w:rPr>
    </w:lvl>
    <w:lvl w:ilvl="4" w:tplc="041F0019">
      <w:start w:val="1"/>
      <w:numFmt w:val="lowerLetter"/>
      <w:lvlText w:val="%5."/>
      <w:lvlJc w:val="left"/>
      <w:pPr>
        <w:ind w:left="3240" w:hanging="360"/>
      </w:pPr>
      <w:rPr>
        <w:rFonts w:cs="Times New Roman"/>
      </w:rPr>
    </w:lvl>
    <w:lvl w:ilvl="5" w:tplc="041F001B">
      <w:start w:val="1"/>
      <w:numFmt w:val="lowerRoman"/>
      <w:lvlText w:val="%6."/>
      <w:lvlJc w:val="right"/>
      <w:pPr>
        <w:ind w:left="3960" w:hanging="180"/>
      </w:pPr>
      <w:rPr>
        <w:rFonts w:cs="Times New Roman"/>
      </w:rPr>
    </w:lvl>
    <w:lvl w:ilvl="6" w:tplc="041F000F">
      <w:start w:val="1"/>
      <w:numFmt w:val="decimal"/>
      <w:lvlText w:val="%7."/>
      <w:lvlJc w:val="left"/>
      <w:pPr>
        <w:ind w:left="4680" w:hanging="360"/>
      </w:pPr>
      <w:rPr>
        <w:rFonts w:cs="Times New Roman"/>
      </w:rPr>
    </w:lvl>
    <w:lvl w:ilvl="7" w:tplc="041F0019">
      <w:start w:val="1"/>
      <w:numFmt w:val="lowerLetter"/>
      <w:lvlText w:val="%8."/>
      <w:lvlJc w:val="left"/>
      <w:pPr>
        <w:ind w:left="5400" w:hanging="360"/>
      </w:pPr>
      <w:rPr>
        <w:rFonts w:cs="Times New Roman"/>
      </w:rPr>
    </w:lvl>
    <w:lvl w:ilvl="8" w:tplc="041F001B">
      <w:start w:val="1"/>
      <w:numFmt w:val="lowerRoman"/>
      <w:lvlText w:val="%9."/>
      <w:lvlJc w:val="right"/>
      <w:pPr>
        <w:ind w:left="6120" w:hanging="180"/>
      </w:pPr>
      <w:rPr>
        <w:rFonts w:cs="Times New Roman"/>
      </w:rPr>
    </w:lvl>
  </w:abstractNum>
  <w:abstractNum w:abstractNumId="46" w15:restartNumberingAfterBreak="0">
    <w:nsid w:val="6C833DE6"/>
    <w:multiLevelType w:val="hybridMultilevel"/>
    <w:tmpl w:val="0764CD4E"/>
    <w:lvl w:ilvl="0" w:tplc="6D48D1DE">
      <w:start w:val="1"/>
      <w:numFmt w:val="lowerRoman"/>
      <w:lvlText w:val="%1."/>
      <w:lvlJc w:val="left"/>
      <w:pPr>
        <w:ind w:left="1287" w:hanging="72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7" w15:restartNumberingAfterBreak="0">
    <w:nsid w:val="6E2B298C"/>
    <w:multiLevelType w:val="hybridMultilevel"/>
    <w:tmpl w:val="BC3E5126"/>
    <w:lvl w:ilvl="0" w:tplc="44F61A0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8" w15:restartNumberingAfterBreak="0">
    <w:nsid w:val="6EA50CB2"/>
    <w:multiLevelType w:val="hybridMultilevel"/>
    <w:tmpl w:val="AA065126"/>
    <w:lvl w:ilvl="0" w:tplc="4D54F0C6">
      <w:start w:val="1"/>
      <w:numFmt w:val="decimal"/>
      <w:lvlText w:val="%1."/>
      <w:lvlJc w:val="left"/>
      <w:pPr>
        <w:ind w:left="1782" w:hanging="360"/>
      </w:pPr>
      <w:rPr>
        <w:rFonts w:hint="default"/>
      </w:rPr>
    </w:lvl>
    <w:lvl w:ilvl="1" w:tplc="7082CC50">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1A75B0A"/>
    <w:multiLevelType w:val="hybridMultilevel"/>
    <w:tmpl w:val="71E62072"/>
    <w:lvl w:ilvl="0" w:tplc="50368E4A">
      <w:start w:val="1"/>
      <w:numFmt w:val="upperRoman"/>
      <w:lvlText w:val="%1."/>
      <w:lvlJc w:val="left"/>
      <w:pPr>
        <w:ind w:left="1422" w:hanging="720"/>
      </w:pPr>
      <w:rPr>
        <w:rFonts w:hint="default"/>
      </w:rPr>
    </w:lvl>
    <w:lvl w:ilvl="1" w:tplc="4D54F0C6">
      <w:start w:val="1"/>
      <w:numFmt w:val="decimal"/>
      <w:lvlText w:val="%2."/>
      <w:lvlJc w:val="left"/>
      <w:pPr>
        <w:ind w:left="1782" w:hanging="360"/>
      </w:pPr>
      <w:rPr>
        <w:rFonts w:hint="default"/>
      </w:rPr>
    </w:lvl>
    <w:lvl w:ilvl="2" w:tplc="041F001B" w:tentative="1">
      <w:start w:val="1"/>
      <w:numFmt w:val="lowerRoman"/>
      <w:lvlText w:val="%3."/>
      <w:lvlJc w:val="right"/>
      <w:pPr>
        <w:ind w:left="2502" w:hanging="180"/>
      </w:pPr>
    </w:lvl>
    <w:lvl w:ilvl="3" w:tplc="041F000F" w:tentative="1">
      <w:start w:val="1"/>
      <w:numFmt w:val="decimal"/>
      <w:lvlText w:val="%4."/>
      <w:lvlJc w:val="left"/>
      <w:pPr>
        <w:ind w:left="3222" w:hanging="360"/>
      </w:pPr>
    </w:lvl>
    <w:lvl w:ilvl="4" w:tplc="041F0019" w:tentative="1">
      <w:start w:val="1"/>
      <w:numFmt w:val="lowerLetter"/>
      <w:lvlText w:val="%5."/>
      <w:lvlJc w:val="left"/>
      <w:pPr>
        <w:ind w:left="3942" w:hanging="360"/>
      </w:pPr>
    </w:lvl>
    <w:lvl w:ilvl="5" w:tplc="041F001B" w:tentative="1">
      <w:start w:val="1"/>
      <w:numFmt w:val="lowerRoman"/>
      <w:lvlText w:val="%6."/>
      <w:lvlJc w:val="right"/>
      <w:pPr>
        <w:ind w:left="4662" w:hanging="180"/>
      </w:pPr>
    </w:lvl>
    <w:lvl w:ilvl="6" w:tplc="041F000F" w:tentative="1">
      <w:start w:val="1"/>
      <w:numFmt w:val="decimal"/>
      <w:lvlText w:val="%7."/>
      <w:lvlJc w:val="left"/>
      <w:pPr>
        <w:ind w:left="5382" w:hanging="360"/>
      </w:pPr>
    </w:lvl>
    <w:lvl w:ilvl="7" w:tplc="041F0019" w:tentative="1">
      <w:start w:val="1"/>
      <w:numFmt w:val="lowerLetter"/>
      <w:lvlText w:val="%8."/>
      <w:lvlJc w:val="left"/>
      <w:pPr>
        <w:ind w:left="6102" w:hanging="360"/>
      </w:pPr>
    </w:lvl>
    <w:lvl w:ilvl="8" w:tplc="041F001B" w:tentative="1">
      <w:start w:val="1"/>
      <w:numFmt w:val="lowerRoman"/>
      <w:lvlText w:val="%9."/>
      <w:lvlJc w:val="right"/>
      <w:pPr>
        <w:ind w:left="6822" w:hanging="180"/>
      </w:pPr>
    </w:lvl>
  </w:abstractNum>
  <w:abstractNum w:abstractNumId="50" w15:restartNumberingAfterBreak="0">
    <w:nsid w:val="755A449A"/>
    <w:multiLevelType w:val="hybridMultilevel"/>
    <w:tmpl w:val="76146AA8"/>
    <w:lvl w:ilvl="0" w:tplc="8F12197A">
      <w:start w:val="1"/>
      <w:numFmt w:val="lowerLetter"/>
      <w:lvlText w:val="%1."/>
      <w:lvlJc w:val="left"/>
      <w:pPr>
        <w:ind w:left="1362" w:hanging="795"/>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1" w15:restartNumberingAfterBreak="0">
    <w:nsid w:val="7562073E"/>
    <w:multiLevelType w:val="hybridMultilevel"/>
    <w:tmpl w:val="97B699AE"/>
    <w:lvl w:ilvl="0" w:tplc="247E689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2" w15:restartNumberingAfterBreak="0">
    <w:nsid w:val="75830190"/>
    <w:multiLevelType w:val="hybridMultilevel"/>
    <w:tmpl w:val="6D7A7970"/>
    <w:lvl w:ilvl="0" w:tplc="B824BEBE">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3" w15:restartNumberingAfterBreak="0">
    <w:nsid w:val="776F1F69"/>
    <w:multiLevelType w:val="hybridMultilevel"/>
    <w:tmpl w:val="4F18BEDC"/>
    <w:lvl w:ilvl="0" w:tplc="0F0A308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4" w15:restartNumberingAfterBreak="0">
    <w:nsid w:val="78C856ED"/>
    <w:multiLevelType w:val="hybridMultilevel"/>
    <w:tmpl w:val="A0009482"/>
    <w:lvl w:ilvl="0" w:tplc="1F1E4392">
      <w:start w:val="1"/>
      <w:numFmt w:val="bullet"/>
      <w:lvlText w:val=""/>
      <w:lvlJc w:val="left"/>
      <w:pPr>
        <w:ind w:left="1854" w:hanging="360"/>
      </w:pPr>
      <w:rPr>
        <w:rFonts w:ascii="Symbol" w:eastAsiaTheme="minorHAnsi" w:hAnsi="Symbol" w:cs="Times New Roman"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55" w15:restartNumberingAfterBreak="0">
    <w:nsid w:val="7932478E"/>
    <w:multiLevelType w:val="hybridMultilevel"/>
    <w:tmpl w:val="6B46E80C"/>
    <w:lvl w:ilvl="0" w:tplc="0922966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6" w15:restartNumberingAfterBreak="0">
    <w:nsid w:val="7EC106CF"/>
    <w:multiLevelType w:val="hybridMultilevel"/>
    <w:tmpl w:val="4F20032A"/>
    <w:lvl w:ilvl="0" w:tplc="2F4AB0B0">
      <w:start w:val="1"/>
      <w:numFmt w:val="lowerLetter"/>
      <w:lvlText w:val="%1."/>
      <w:lvlJc w:val="left"/>
      <w:pPr>
        <w:ind w:left="1494" w:hanging="360"/>
      </w:pPr>
      <w:rPr>
        <w:rFonts w:ascii="Palatino Linotype" w:eastAsiaTheme="minorEastAsia" w:hAnsi="Palatino Linotype" w:cs="Times New Roman"/>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num w:numId="1" w16cid:durableId="1753821143">
    <w:abstractNumId w:val="41"/>
  </w:num>
  <w:num w:numId="2" w16cid:durableId="879241935">
    <w:abstractNumId w:val="35"/>
  </w:num>
  <w:num w:numId="3" w16cid:durableId="1701121317">
    <w:abstractNumId w:val="4"/>
  </w:num>
  <w:num w:numId="4" w16cid:durableId="1339162793">
    <w:abstractNumId w:val="56"/>
  </w:num>
  <w:num w:numId="5" w16cid:durableId="1763839778">
    <w:abstractNumId w:val="54"/>
  </w:num>
  <w:num w:numId="6" w16cid:durableId="556014892">
    <w:abstractNumId w:val="47"/>
  </w:num>
  <w:num w:numId="7" w16cid:durableId="510219116">
    <w:abstractNumId w:val="5"/>
  </w:num>
  <w:num w:numId="8" w16cid:durableId="1633904694">
    <w:abstractNumId w:val="33"/>
  </w:num>
  <w:num w:numId="9" w16cid:durableId="67896002">
    <w:abstractNumId w:val="7"/>
  </w:num>
  <w:num w:numId="10" w16cid:durableId="1619019396">
    <w:abstractNumId w:val="9"/>
  </w:num>
  <w:num w:numId="11" w16cid:durableId="598563363">
    <w:abstractNumId w:val="29"/>
  </w:num>
  <w:num w:numId="12" w16cid:durableId="190531123">
    <w:abstractNumId w:val="15"/>
  </w:num>
  <w:num w:numId="13" w16cid:durableId="664550756">
    <w:abstractNumId w:val="14"/>
  </w:num>
  <w:num w:numId="14" w16cid:durableId="363753414">
    <w:abstractNumId w:val="8"/>
  </w:num>
  <w:num w:numId="15" w16cid:durableId="1557088354">
    <w:abstractNumId w:val="27"/>
  </w:num>
  <w:num w:numId="16" w16cid:durableId="1351300507">
    <w:abstractNumId w:val="2"/>
  </w:num>
  <w:num w:numId="17" w16cid:durableId="472602240">
    <w:abstractNumId w:val="51"/>
  </w:num>
  <w:num w:numId="18" w16cid:durableId="1513108461">
    <w:abstractNumId w:val="42"/>
  </w:num>
  <w:num w:numId="19" w16cid:durableId="885263595">
    <w:abstractNumId w:val="24"/>
  </w:num>
  <w:num w:numId="20" w16cid:durableId="465664124">
    <w:abstractNumId w:val="43"/>
  </w:num>
  <w:num w:numId="21" w16cid:durableId="244075472">
    <w:abstractNumId w:val="19"/>
  </w:num>
  <w:num w:numId="22" w16cid:durableId="458959060">
    <w:abstractNumId w:val="1"/>
  </w:num>
  <w:num w:numId="23" w16cid:durableId="1484740450">
    <w:abstractNumId w:val="38"/>
  </w:num>
  <w:num w:numId="24" w16cid:durableId="65618249">
    <w:abstractNumId w:val="18"/>
  </w:num>
  <w:num w:numId="25" w16cid:durableId="561404878">
    <w:abstractNumId w:val="53"/>
  </w:num>
  <w:num w:numId="26" w16cid:durableId="161894120">
    <w:abstractNumId w:val="16"/>
  </w:num>
  <w:num w:numId="27" w16cid:durableId="637878119">
    <w:abstractNumId w:val="32"/>
  </w:num>
  <w:num w:numId="28" w16cid:durableId="1585993867">
    <w:abstractNumId w:val="3"/>
  </w:num>
  <w:num w:numId="29" w16cid:durableId="2105152170">
    <w:abstractNumId w:val="21"/>
  </w:num>
  <w:num w:numId="30" w16cid:durableId="1062100629">
    <w:abstractNumId w:val="55"/>
  </w:num>
  <w:num w:numId="31" w16cid:durableId="540215408">
    <w:abstractNumId w:val="23"/>
  </w:num>
  <w:num w:numId="32" w16cid:durableId="640308572">
    <w:abstractNumId w:val="44"/>
  </w:num>
  <w:num w:numId="33" w16cid:durableId="1021515128">
    <w:abstractNumId w:val="26"/>
  </w:num>
  <w:num w:numId="34" w16cid:durableId="1573391857">
    <w:abstractNumId w:val="50"/>
  </w:num>
  <w:num w:numId="35" w16cid:durableId="609896635">
    <w:abstractNumId w:val="13"/>
  </w:num>
  <w:num w:numId="36" w16cid:durableId="966667965">
    <w:abstractNumId w:val="39"/>
  </w:num>
  <w:num w:numId="37" w16cid:durableId="682783526">
    <w:abstractNumId w:val="36"/>
  </w:num>
  <w:num w:numId="38" w16cid:durableId="1253970867">
    <w:abstractNumId w:val="31"/>
  </w:num>
  <w:num w:numId="39" w16cid:durableId="1966227184">
    <w:abstractNumId w:val="49"/>
  </w:num>
  <w:num w:numId="40" w16cid:durableId="496729259">
    <w:abstractNumId w:val="10"/>
  </w:num>
  <w:num w:numId="41" w16cid:durableId="671956681">
    <w:abstractNumId w:val="37"/>
  </w:num>
  <w:num w:numId="42" w16cid:durableId="1794858920">
    <w:abstractNumId w:val="48"/>
  </w:num>
  <w:num w:numId="43" w16cid:durableId="725110827">
    <w:abstractNumId w:val="22"/>
  </w:num>
  <w:num w:numId="44" w16cid:durableId="1342855780">
    <w:abstractNumId w:val="25"/>
  </w:num>
  <w:num w:numId="45" w16cid:durableId="1216232510">
    <w:abstractNumId w:val="52"/>
  </w:num>
  <w:num w:numId="46" w16cid:durableId="341277276">
    <w:abstractNumId w:val="28"/>
  </w:num>
  <w:num w:numId="47" w16cid:durableId="1521118465">
    <w:abstractNumId w:val="34"/>
  </w:num>
  <w:num w:numId="48" w16cid:durableId="482739527">
    <w:abstractNumId w:val="17"/>
  </w:num>
  <w:num w:numId="49" w16cid:durableId="1263102157">
    <w:abstractNumId w:val="11"/>
  </w:num>
  <w:num w:numId="50" w16cid:durableId="1218467137">
    <w:abstractNumId w:val="12"/>
  </w:num>
  <w:num w:numId="51" w16cid:durableId="1616062335">
    <w:abstractNumId w:val="46"/>
  </w:num>
  <w:num w:numId="52" w16cid:durableId="518541280">
    <w:abstractNumId w:val="30"/>
  </w:num>
  <w:num w:numId="53" w16cid:durableId="1347823845">
    <w:abstractNumId w:val="6"/>
  </w:num>
  <w:num w:numId="54" w16cid:durableId="1127120422">
    <w:abstractNumId w:val="20"/>
  </w:num>
  <w:num w:numId="55" w16cid:durableId="405956949">
    <w:abstractNumId w:val="0"/>
  </w:num>
  <w:num w:numId="56" w16cid:durableId="282810026">
    <w:abstractNumId w:val="40"/>
  </w:num>
  <w:num w:numId="57" w16cid:durableId="3778037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67"/>
    <w:rsid w:val="0007705D"/>
    <w:rsid w:val="002E4761"/>
    <w:rsid w:val="00447E35"/>
    <w:rsid w:val="0049729D"/>
    <w:rsid w:val="00595617"/>
    <w:rsid w:val="006A680F"/>
    <w:rsid w:val="00874B7E"/>
    <w:rsid w:val="00936167"/>
    <w:rsid w:val="00AE5852"/>
    <w:rsid w:val="00D04269"/>
    <w:rsid w:val="00F94CCD"/>
    <w:rsid w:val="00FD6CE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63E62"/>
  <w15:chartTrackingRefBased/>
  <w15:docId w15:val="{2585D385-CDD7-49DC-8F94-36860BFDD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167"/>
    <w:pPr>
      <w:spacing w:after="200" w:line="276" w:lineRule="auto"/>
    </w:pPr>
    <w:rPr>
      <w:rFonts w:eastAsiaTheme="minorEastAsia"/>
      <w:kern w:val="0"/>
      <w:lang w:eastAsia="tr-TR"/>
      <w14:ligatures w14:val="none"/>
    </w:rPr>
  </w:style>
  <w:style w:type="paragraph" w:styleId="Balk1">
    <w:name w:val="heading 1"/>
    <w:basedOn w:val="Normal"/>
    <w:next w:val="Normal"/>
    <w:link w:val="Balk1Char"/>
    <w:uiPriority w:val="9"/>
    <w:qFormat/>
    <w:rsid w:val="0007705D"/>
    <w:pPr>
      <w:keepNext/>
      <w:keepLines/>
      <w:spacing w:before="240" w:after="240" w:line="360" w:lineRule="auto"/>
      <w:ind w:left="567"/>
      <w:jc w:val="both"/>
      <w:outlineLvl w:val="0"/>
    </w:pPr>
    <w:rPr>
      <w:rFonts w:ascii="Palatino Linotype" w:eastAsiaTheme="majorEastAsia" w:hAnsi="Palatino Linotype" w:cstheme="majorBidi"/>
      <w:b/>
      <w:color w:val="000000" w:themeColor="text1"/>
      <w:szCs w:val="32"/>
    </w:rPr>
  </w:style>
  <w:style w:type="paragraph" w:styleId="Balk2">
    <w:name w:val="heading 2"/>
    <w:basedOn w:val="Normal"/>
    <w:next w:val="Normal"/>
    <w:link w:val="Balk2Char"/>
    <w:uiPriority w:val="9"/>
    <w:unhideWhenUsed/>
    <w:qFormat/>
    <w:rsid w:val="0007705D"/>
    <w:pPr>
      <w:keepNext/>
      <w:keepLines/>
      <w:spacing w:before="160" w:after="80"/>
      <w:jc w:val="both"/>
      <w:outlineLvl w:val="1"/>
    </w:pPr>
    <w:rPr>
      <w:rFonts w:ascii="Palatino Linotype" w:eastAsiaTheme="majorEastAsia" w:hAnsi="Palatino Linotype" w:cstheme="majorBidi"/>
      <w:szCs w:val="32"/>
    </w:rPr>
  </w:style>
  <w:style w:type="paragraph" w:styleId="Balk3">
    <w:name w:val="heading 3"/>
    <w:basedOn w:val="Normal"/>
    <w:next w:val="Normal"/>
    <w:link w:val="Balk3Char"/>
    <w:uiPriority w:val="9"/>
    <w:unhideWhenUsed/>
    <w:qFormat/>
    <w:rsid w:val="0007705D"/>
    <w:pPr>
      <w:keepNext/>
      <w:keepLines/>
      <w:numPr>
        <w:numId w:val="2"/>
      </w:numPr>
      <w:spacing w:before="200" w:after="100" w:afterAutospacing="1"/>
      <w:ind w:left="786" w:hanging="360"/>
      <w:outlineLvl w:val="2"/>
    </w:pPr>
    <w:rPr>
      <w:rFonts w:ascii="Palatino Linotype" w:eastAsiaTheme="majorEastAsia" w:hAnsi="Palatino Linotype" w:cstheme="majorBidi"/>
      <w:b/>
      <w:bCs/>
      <w:color w:val="000000" w:themeColor="text1"/>
    </w:rPr>
  </w:style>
  <w:style w:type="paragraph" w:styleId="Balk4">
    <w:name w:val="heading 4"/>
    <w:basedOn w:val="Normal"/>
    <w:next w:val="Normal"/>
    <w:link w:val="Balk4Char"/>
    <w:uiPriority w:val="9"/>
    <w:unhideWhenUsed/>
    <w:qFormat/>
    <w:rsid w:val="0093616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unhideWhenUsed/>
    <w:qFormat/>
    <w:rsid w:val="0093616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3616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3616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3616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3616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705D"/>
    <w:rPr>
      <w:rFonts w:ascii="Palatino Linotype" w:eastAsiaTheme="majorEastAsia" w:hAnsi="Palatino Linotype" w:cstheme="majorBidi"/>
      <w:b/>
      <w:color w:val="000000" w:themeColor="text1"/>
      <w:szCs w:val="32"/>
    </w:rPr>
  </w:style>
  <w:style w:type="character" w:customStyle="1" w:styleId="Balk2Char">
    <w:name w:val="Başlık 2 Char"/>
    <w:basedOn w:val="VarsaylanParagrafYazTipi"/>
    <w:link w:val="Balk2"/>
    <w:uiPriority w:val="9"/>
    <w:rsid w:val="0007705D"/>
    <w:rPr>
      <w:rFonts w:ascii="Palatino Linotype" w:eastAsiaTheme="majorEastAsia" w:hAnsi="Palatino Linotype" w:cstheme="majorBidi"/>
      <w:szCs w:val="32"/>
    </w:rPr>
  </w:style>
  <w:style w:type="character" w:customStyle="1" w:styleId="Balk3Char">
    <w:name w:val="Başlık 3 Char"/>
    <w:basedOn w:val="VarsaylanParagrafYazTipi"/>
    <w:link w:val="Balk3"/>
    <w:uiPriority w:val="9"/>
    <w:rsid w:val="0007705D"/>
    <w:rPr>
      <w:rFonts w:ascii="Palatino Linotype" w:eastAsiaTheme="majorEastAsia" w:hAnsi="Palatino Linotype" w:cstheme="majorBidi"/>
      <w:b/>
      <w:bCs/>
      <w:color w:val="000000" w:themeColor="text1"/>
      <w:kern w:val="0"/>
    </w:rPr>
  </w:style>
  <w:style w:type="character" w:customStyle="1" w:styleId="Balk4Char">
    <w:name w:val="Başlık 4 Char"/>
    <w:basedOn w:val="VarsaylanParagrafYazTipi"/>
    <w:link w:val="Balk4"/>
    <w:uiPriority w:val="9"/>
    <w:rsid w:val="0093616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rsid w:val="0093616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361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361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361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36167"/>
    <w:rPr>
      <w:rFonts w:eastAsiaTheme="majorEastAsia" w:cstheme="majorBidi"/>
      <w:color w:val="272727" w:themeColor="text1" w:themeTint="D8"/>
    </w:rPr>
  </w:style>
  <w:style w:type="paragraph" w:styleId="KonuBal">
    <w:name w:val="Title"/>
    <w:basedOn w:val="Normal"/>
    <w:next w:val="Normal"/>
    <w:link w:val="KonuBalChar"/>
    <w:uiPriority w:val="10"/>
    <w:qFormat/>
    <w:rsid w:val="00936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361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361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361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361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36167"/>
    <w:rPr>
      <w:i/>
      <w:iCs/>
      <w:color w:val="404040" w:themeColor="text1" w:themeTint="BF"/>
    </w:rPr>
  </w:style>
  <w:style w:type="paragraph" w:styleId="ListeParagraf">
    <w:name w:val="List Paragraph"/>
    <w:basedOn w:val="Normal"/>
    <w:uiPriority w:val="34"/>
    <w:qFormat/>
    <w:rsid w:val="00936167"/>
    <w:pPr>
      <w:ind w:left="720"/>
      <w:contextualSpacing/>
    </w:pPr>
  </w:style>
  <w:style w:type="character" w:styleId="GlVurgulama">
    <w:name w:val="Intense Emphasis"/>
    <w:basedOn w:val="VarsaylanParagrafYazTipi"/>
    <w:uiPriority w:val="21"/>
    <w:qFormat/>
    <w:rsid w:val="00936167"/>
    <w:rPr>
      <w:i/>
      <w:iCs/>
      <w:color w:val="2F5496" w:themeColor="accent1" w:themeShade="BF"/>
    </w:rPr>
  </w:style>
  <w:style w:type="paragraph" w:styleId="GlAlnt">
    <w:name w:val="Intense Quote"/>
    <w:basedOn w:val="Normal"/>
    <w:next w:val="Normal"/>
    <w:link w:val="GlAlntChar"/>
    <w:uiPriority w:val="30"/>
    <w:qFormat/>
    <w:rsid w:val="009361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36167"/>
    <w:rPr>
      <w:i/>
      <w:iCs/>
      <w:color w:val="2F5496" w:themeColor="accent1" w:themeShade="BF"/>
    </w:rPr>
  </w:style>
  <w:style w:type="character" w:styleId="GlBavuru">
    <w:name w:val="Intense Reference"/>
    <w:basedOn w:val="VarsaylanParagrafYazTipi"/>
    <w:uiPriority w:val="32"/>
    <w:qFormat/>
    <w:rsid w:val="00936167"/>
    <w:rPr>
      <w:b/>
      <w:bCs/>
      <w:smallCaps/>
      <w:color w:val="2F5496" w:themeColor="accent1" w:themeShade="BF"/>
      <w:spacing w:val="5"/>
    </w:rPr>
  </w:style>
  <w:style w:type="paragraph" w:styleId="stBilgi">
    <w:name w:val="header"/>
    <w:basedOn w:val="Normal"/>
    <w:link w:val="stBilgiChar"/>
    <w:uiPriority w:val="99"/>
    <w:unhideWhenUsed/>
    <w:rsid w:val="0093616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36167"/>
    <w:rPr>
      <w:rFonts w:eastAsiaTheme="minorEastAsia"/>
      <w:kern w:val="0"/>
      <w:lang w:eastAsia="tr-TR"/>
      <w14:ligatures w14:val="none"/>
    </w:rPr>
  </w:style>
  <w:style w:type="paragraph" w:styleId="AltBilgi">
    <w:name w:val="footer"/>
    <w:basedOn w:val="Normal"/>
    <w:link w:val="AltBilgiChar"/>
    <w:uiPriority w:val="99"/>
    <w:unhideWhenUsed/>
    <w:rsid w:val="0093616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36167"/>
    <w:rPr>
      <w:rFonts w:eastAsiaTheme="minorEastAsia"/>
      <w:kern w:val="0"/>
      <w:lang w:eastAsia="tr-TR"/>
      <w14:ligatures w14:val="none"/>
    </w:rPr>
  </w:style>
  <w:style w:type="paragraph" w:styleId="BalonMetni">
    <w:name w:val="Balloon Text"/>
    <w:basedOn w:val="Normal"/>
    <w:link w:val="BalonMetniChar"/>
    <w:uiPriority w:val="99"/>
    <w:semiHidden/>
    <w:unhideWhenUsed/>
    <w:rsid w:val="0093616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36167"/>
    <w:rPr>
      <w:rFonts w:ascii="Tahoma" w:eastAsiaTheme="minorEastAsia" w:hAnsi="Tahoma" w:cs="Tahoma"/>
      <w:kern w:val="0"/>
      <w:sz w:val="16"/>
      <w:szCs w:val="16"/>
      <w:lang w:eastAsia="tr-TR"/>
      <w14:ligatures w14:val="none"/>
    </w:rPr>
  </w:style>
  <w:style w:type="paragraph" w:styleId="DipnotMetni">
    <w:name w:val="footnote text"/>
    <w:basedOn w:val="Normal"/>
    <w:link w:val="DipnotMetniChar"/>
    <w:uiPriority w:val="99"/>
    <w:unhideWhenUsed/>
    <w:rsid w:val="00936167"/>
    <w:pPr>
      <w:spacing w:after="0" w:line="240" w:lineRule="auto"/>
    </w:pPr>
    <w:rPr>
      <w:sz w:val="20"/>
      <w:szCs w:val="20"/>
    </w:rPr>
  </w:style>
  <w:style w:type="character" w:customStyle="1" w:styleId="DipnotMetniChar">
    <w:name w:val="Dipnot Metni Char"/>
    <w:basedOn w:val="VarsaylanParagrafYazTipi"/>
    <w:link w:val="DipnotMetni"/>
    <w:uiPriority w:val="99"/>
    <w:rsid w:val="00936167"/>
    <w:rPr>
      <w:rFonts w:eastAsiaTheme="minorEastAsia"/>
      <w:kern w:val="0"/>
      <w:sz w:val="20"/>
      <w:szCs w:val="20"/>
      <w:lang w:eastAsia="tr-TR"/>
      <w14:ligatures w14:val="none"/>
    </w:rPr>
  </w:style>
  <w:style w:type="character" w:styleId="DipnotBavurusu">
    <w:name w:val="footnote reference"/>
    <w:basedOn w:val="VarsaylanParagrafYazTipi"/>
    <w:uiPriority w:val="99"/>
    <w:unhideWhenUsed/>
    <w:rsid w:val="00936167"/>
    <w:rPr>
      <w:vertAlign w:val="superscript"/>
    </w:rPr>
  </w:style>
  <w:style w:type="character" w:styleId="HafifVurgulama">
    <w:name w:val="Subtle Emphasis"/>
    <w:basedOn w:val="VarsaylanParagrafYazTipi"/>
    <w:uiPriority w:val="19"/>
    <w:qFormat/>
    <w:rsid w:val="00936167"/>
    <w:rPr>
      <w:i/>
      <w:iCs/>
      <w:color w:val="808080" w:themeColor="text1" w:themeTint="7F"/>
    </w:rPr>
  </w:style>
  <w:style w:type="character" w:customStyle="1" w:styleId="DipnotKarakterleri">
    <w:name w:val="Dipnot Karakterleri"/>
    <w:rsid w:val="00936167"/>
  </w:style>
  <w:style w:type="paragraph" w:customStyle="1" w:styleId="ListeParagraf1">
    <w:name w:val="Liste Paragraf1"/>
    <w:basedOn w:val="Normal"/>
    <w:rsid w:val="00936167"/>
    <w:pPr>
      <w:suppressAutoHyphens/>
      <w:ind w:left="720"/>
    </w:pPr>
    <w:rPr>
      <w:rFonts w:ascii="Times New Roman" w:eastAsia="Lucida Sans Unicode" w:hAnsi="Times New Roman" w:cs="font333"/>
      <w:kern w:val="1"/>
      <w:lang w:eastAsia="ar-SA"/>
    </w:rPr>
  </w:style>
  <w:style w:type="character" w:styleId="Kpr">
    <w:name w:val="Hyperlink"/>
    <w:basedOn w:val="VarsaylanParagrafYazTipi"/>
    <w:uiPriority w:val="99"/>
    <w:unhideWhenUsed/>
    <w:rsid w:val="00936167"/>
    <w:rPr>
      <w:color w:val="0563C1" w:themeColor="hyperlink"/>
      <w:u w:val="single"/>
    </w:rPr>
  </w:style>
  <w:style w:type="character" w:customStyle="1" w:styleId="DipnotBavurusu1">
    <w:name w:val="Dipnot Başvurusu1"/>
    <w:rsid w:val="00936167"/>
    <w:rPr>
      <w:vertAlign w:val="superscript"/>
    </w:rPr>
  </w:style>
  <w:style w:type="paragraph" w:customStyle="1" w:styleId="DipnotMetni1">
    <w:name w:val="Dipnot Metni1"/>
    <w:basedOn w:val="Normal"/>
    <w:rsid w:val="00936167"/>
    <w:pPr>
      <w:suppressAutoHyphens/>
      <w:spacing w:after="0" w:line="100" w:lineRule="atLeast"/>
    </w:pPr>
    <w:rPr>
      <w:rFonts w:ascii="Times New Roman" w:eastAsia="SimSun" w:hAnsi="Times New Roman" w:cs="font332"/>
      <w:kern w:val="1"/>
      <w:sz w:val="20"/>
      <w:szCs w:val="20"/>
      <w:lang w:eastAsia="ar-SA"/>
    </w:rPr>
  </w:style>
  <w:style w:type="character" w:customStyle="1" w:styleId="DipnotBavurusu2">
    <w:name w:val="Dipnot Başvurusu2"/>
    <w:basedOn w:val="VarsaylanParagrafYazTipi"/>
    <w:rsid w:val="00936167"/>
    <w:rPr>
      <w:vertAlign w:val="superscript"/>
    </w:rPr>
  </w:style>
  <w:style w:type="paragraph" w:customStyle="1" w:styleId="DipnotMetni2">
    <w:name w:val="Dipnot Metni2"/>
    <w:basedOn w:val="Normal"/>
    <w:rsid w:val="00936167"/>
    <w:pPr>
      <w:suppressAutoHyphens/>
      <w:spacing w:after="0" w:line="100" w:lineRule="atLeast"/>
    </w:pPr>
    <w:rPr>
      <w:rFonts w:ascii="Calibri" w:eastAsia="SimSun" w:hAnsi="Calibri" w:cs="font334"/>
      <w:kern w:val="1"/>
      <w:sz w:val="20"/>
      <w:szCs w:val="20"/>
      <w:lang w:eastAsia="ar-SA"/>
    </w:rPr>
  </w:style>
  <w:style w:type="character" w:styleId="Gl">
    <w:name w:val="Strong"/>
    <w:basedOn w:val="VarsaylanParagrafYazTipi"/>
    <w:uiPriority w:val="22"/>
    <w:qFormat/>
    <w:rsid w:val="00936167"/>
    <w:rPr>
      <w:b/>
      <w:bCs/>
    </w:rPr>
  </w:style>
  <w:style w:type="paragraph" w:styleId="SonNotMetni">
    <w:name w:val="endnote text"/>
    <w:basedOn w:val="Normal"/>
    <w:link w:val="SonNotMetniChar"/>
    <w:uiPriority w:val="99"/>
    <w:semiHidden/>
    <w:unhideWhenUsed/>
    <w:rsid w:val="00936167"/>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936167"/>
    <w:rPr>
      <w:rFonts w:eastAsiaTheme="minorEastAsia"/>
      <w:kern w:val="0"/>
      <w:sz w:val="20"/>
      <w:szCs w:val="20"/>
      <w:lang w:eastAsia="tr-TR"/>
      <w14:ligatures w14:val="none"/>
    </w:rPr>
  </w:style>
  <w:style w:type="character" w:styleId="SonNotBavurusu">
    <w:name w:val="endnote reference"/>
    <w:basedOn w:val="VarsaylanParagrafYazTipi"/>
    <w:uiPriority w:val="99"/>
    <w:semiHidden/>
    <w:unhideWhenUsed/>
    <w:rsid w:val="00936167"/>
    <w:rPr>
      <w:vertAlign w:val="superscript"/>
    </w:rPr>
  </w:style>
  <w:style w:type="paragraph" w:styleId="AralkYok">
    <w:name w:val="No Spacing"/>
    <w:uiPriority w:val="1"/>
    <w:qFormat/>
    <w:rsid w:val="00936167"/>
    <w:pPr>
      <w:spacing w:after="0" w:line="240" w:lineRule="auto"/>
    </w:pPr>
    <w:rPr>
      <w:rFonts w:eastAsiaTheme="minorEastAsia"/>
      <w:kern w:val="0"/>
      <w:lang w:eastAsia="tr-TR"/>
      <w14:ligatures w14:val="none"/>
    </w:rPr>
  </w:style>
  <w:style w:type="paragraph" w:styleId="HTMLncedenBiimlendirilmi">
    <w:name w:val="HTML Preformatted"/>
    <w:basedOn w:val="Normal"/>
    <w:link w:val="HTMLncedenBiimlendirilmiChar"/>
    <w:uiPriority w:val="99"/>
    <w:unhideWhenUsed/>
    <w:rsid w:val="00936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936167"/>
    <w:rPr>
      <w:rFonts w:ascii="Courier New" w:eastAsia="Times New Roman" w:hAnsi="Courier New" w:cs="Courier New"/>
      <w:kern w:val="0"/>
      <w:sz w:val="20"/>
      <w:szCs w:val="20"/>
      <w:lang w:eastAsia="tr-TR"/>
      <w14:ligatures w14:val="none"/>
    </w:rPr>
  </w:style>
  <w:style w:type="paragraph" w:styleId="GvdeMetni">
    <w:name w:val="Body Text"/>
    <w:basedOn w:val="Normal"/>
    <w:link w:val="GvdeMetniChar"/>
    <w:uiPriority w:val="99"/>
    <w:semiHidden/>
    <w:unhideWhenUsed/>
    <w:rsid w:val="009361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936167"/>
    <w:rPr>
      <w:rFonts w:ascii="Times New Roman" w:eastAsia="Times New Roman" w:hAnsi="Times New Roman" w:cs="Times New Roman"/>
      <w:kern w:val="0"/>
      <w:sz w:val="24"/>
      <w:szCs w:val="24"/>
      <w:lang w:eastAsia="tr-TR"/>
      <w14:ligatures w14:val="none"/>
    </w:rPr>
  </w:style>
  <w:style w:type="paragraph" w:styleId="GvdeMetniGirintisi">
    <w:name w:val="Body Text Indent"/>
    <w:basedOn w:val="Normal"/>
    <w:link w:val="GvdeMetniGirintisiChar"/>
    <w:uiPriority w:val="99"/>
    <w:unhideWhenUsed/>
    <w:rsid w:val="00936167"/>
    <w:pPr>
      <w:spacing w:after="120"/>
      <w:ind w:left="283"/>
    </w:pPr>
  </w:style>
  <w:style w:type="character" w:customStyle="1" w:styleId="GvdeMetniGirintisiChar">
    <w:name w:val="Gövde Metni Girintisi Char"/>
    <w:basedOn w:val="VarsaylanParagrafYazTipi"/>
    <w:link w:val="GvdeMetniGirintisi"/>
    <w:uiPriority w:val="99"/>
    <w:rsid w:val="00936167"/>
    <w:rPr>
      <w:rFonts w:eastAsiaTheme="minorEastAsia"/>
      <w:kern w:val="0"/>
      <w:lang w:eastAsia="tr-TR"/>
      <w14:ligatures w14:val="none"/>
    </w:rPr>
  </w:style>
  <w:style w:type="paragraph" w:styleId="NormalWeb">
    <w:name w:val="Normal (Web)"/>
    <w:basedOn w:val="Normal"/>
    <w:uiPriority w:val="99"/>
    <w:unhideWhenUsed/>
    <w:rsid w:val="009361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5fc5acc">
    <w:name w:val="s75fc5acc"/>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VarsaylanParagrafYazTipi"/>
    <w:rsid w:val="00936167"/>
  </w:style>
  <w:style w:type="character" w:customStyle="1" w:styleId="s6b621b36">
    <w:name w:val="s6b621b36"/>
    <w:basedOn w:val="VarsaylanParagrafYazTipi"/>
    <w:rsid w:val="00936167"/>
  </w:style>
  <w:style w:type="character" w:customStyle="1" w:styleId="wordhighlighted">
    <w:name w:val="wordhighlighted"/>
    <w:basedOn w:val="VarsaylanParagrafYazTipi"/>
    <w:rsid w:val="00936167"/>
  </w:style>
  <w:style w:type="paragraph" w:customStyle="1" w:styleId="FootnoteTextYA">
    <w:name w:val="Footnote Text YA"/>
    <w:autoRedefine/>
    <w:qFormat/>
    <w:rsid w:val="00936167"/>
    <w:pPr>
      <w:tabs>
        <w:tab w:val="left" w:pos="288"/>
      </w:tabs>
      <w:spacing w:after="0" w:line="240" w:lineRule="auto"/>
      <w:ind w:left="567" w:right="170" w:hanging="1082"/>
      <w:jc w:val="both"/>
    </w:pPr>
    <w:rPr>
      <w:rFonts w:ascii="Times New Roman" w:eastAsiaTheme="majorEastAsia" w:hAnsi="Times New Roman" w:cs="Times New Roman"/>
      <w:kern w:val="0"/>
      <w:sz w:val="20"/>
      <w:szCs w:val="20"/>
      <w:lang w:eastAsia="en-GB"/>
      <w14:ligatures w14:val="none"/>
    </w:rPr>
  </w:style>
  <w:style w:type="paragraph" w:customStyle="1" w:styleId="Default">
    <w:name w:val="Default"/>
    <w:rsid w:val="00936167"/>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tr-TR"/>
      <w14:ligatures w14:val="none"/>
    </w:rPr>
  </w:style>
  <w:style w:type="paragraph" w:customStyle="1" w:styleId="DIPSON">
    <w:name w:val="DIP SON"/>
    <w:basedOn w:val="Normal"/>
    <w:uiPriority w:val="99"/>
    <w:rsid w:val="00936167"/>
    <w:pPr>
      <w:keepLines/>
      <w:autoSpaceDE w:val="0"/>
      <w:autoSpaceDN w:val="0"/>
      <w:adjustRightInd w:val="0"/>
      <w:spacing w:after="0" w:line="288" w:lineRule="auto"/>
      <w:ind w:left="283" w:hanging="283"/>
      <w:jc w:val="both"/>
      <w:textAlignment w:val="center"/>
    </w:pPr>
    <w:rPr>
      <w:rFonts w:ascii="Palatino Linotype" w:hAnsi="Palatino Linotype" w:cs="Palatino Linotype"/>
      <w:color w:val="000000"/>
      <w:sz w:val="16"/>
      <w:szCs w:val="16"/>
    </w:rPr>
  </w:style>
  <w:style w:type="paragraph" w:styleId="TBal">
    <w:name w:val="TOC Heading"/>
    <w:basedOn w:val="Balk1"/>
    <w:next w:val="Normal"/>
    <w:uiPriority w:val="39"/>
    <w:unhideWhenUsed/>
    <w:qFormat/>
    <w:rsid w:val="00936167"/>
    <w:pPr>
      <w:spacing w:before="480" w:after="0" w:line="276" w:lineRule="auto"/>
      <w:ind w:left="0"/>
      <w:jc w:val="left"/>
      <w:outlineLvl w:val="9"/>
    </w:pPr>
    <w:rPr>
      <w:rFonts w:asciiTheme="majorHAnsi" w:hAnsiTheme="majorHAnsi"/>
      <w:bCs/>
      <w:color w:val="2F5496" w:themeColor="accent1" w:themeShade="BF"/>
      <w:sz w:val="28"/>
      <w:szCs w:val="28"/>
    </w:rPr>
  </w:style>
  <w:style w:type="paragraph" w:styleId="T1">
    <w:name w:val="toc 1"/>
    <w:basedOn w:val="Normal"/>
    <w:next w:val="Normal"/>
    <w:autoRedefine/>
    <w:uiPriority w:val="39"/>
    <w:unhideWhenUsed/>
    <w:rsid w:val="00936167"/>
    <w:pPr>
      <w:tabs>
        <w:tab w:val="left" w:pos="426"/>
        <w:tab w:val="left" w:pos="1540"/>
        <w:tab w:val="left" w:pos="6236"/>
        <w:tab w:val="right" w:leader="dot" w:pos="9062"/>
      </w:tabs>
      <w:spacing w:before="120" w:after="120" w:line="240" w:lineRule="auto"/>
      <w:ind w:left="426" w:hanging="426"/>
    </w:pPr>
    <w:rPr>
      <w:rFonts w:ascii="Palatino Linotype" w:hAnsi="Palatino Linotype" w:cstheme="minorHAnsi"/>
      <w:b/>
      <w:noProof/>
    </w:rPr>
  </w:style>
  <w:style w:type="paragraph" w:styleId="T2">
    <w:name w:val="toc 2"/>
    <w:basedOn w:val="Normal"/>
    <w:next w:val="Normal"/>
    <w:autoRedefine/>
    <w:uiPriority w:val="39"/>
    <w:unhideWhenUsed/>
    <w:rsid w:val="00936167"/>
    <w:pPr>
      <w:tabs>
        <w:tab w:val="left" w:pos="1320"/>
        <w:tab w:val="right" w:leader="dot" w:pos="9072"/>
      </w:tabs>
      <w:spacing w:after="100"/>
      <w:ind w:left="1276" w:hanging="425"/>
    </w:pPr>
  </w:style>
  <w:style w:type="paragraph" w:styleId="T3">
    <w:name w:val="toc 3"/>
    <w:basedOn w:val="Normal"/>
    <w:next w:val="Normal"/>
    <w:autoRedefine/>
    <w:uiPriority w:val="39"/>
    <w:unhideWhenUsed/>
    <w:rsid w:val="00936167"/>
    <w:pPr>
      <w:tabs>
        <w:tab w:val="left" w:pos="851"/>
        <w:tab w:val="left" w:pos="1540"/>
        <w:tab w:val="right" w:leader="dot" w:pos="9072"/>
      </w:tabs>
      <w:spacing w:after="100"/>
      <w:ind w:left="1560" w:hanging="426"/>
      <w:jc w:val="both"/>
    </w:pPr>
  </w:style>
  <w:style w:type="paragraph" w:customStyle="1" w:styleId="s33d9de6b">
    <w:name w:val="s33d9de6b"/>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d2086b4">
    <w:name w:val="s7d2086b4"/>
    <w:basedOn w:val="VarsaylanParagrafYazTipi"/>
    <w:rsid w:val="00936167"/>
  </w:style>
  <w:style w:type="paragraph" w:customStyle="1" w:styleId="s30eec3f8">
    <w:name w:val="s30eec3f8"/>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c3bcf28">
    <w:name w:val="scc3bcf28"/>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d5b7d322">
    <w:name w:val="sd5b7d322"/>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9a68b25">
    <w:name w:val="sc9a68b25"/>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dfc50a6a">
    <w:name w:val="sdfc50a6a"/>
    <w:basedOn w:val="VarsaylanParagrafYazTipi"/>
    <w:rsid w:val="00936167"/>
  </w:style>
  <w:style w:type="paragraph" w:customStyle="1" w:styleId="sce894633">
    <w:name w:val="sce894633"/>
    <w:basedOn w:val="Normal"/>
    <w:rsid w:val="009361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a844bc0">
    <w:name w:val="s1a844bc0"/>
    <w:basedOn w:val="VarsaylanParagrafYazTipi"/>
    <w:rsid w:val="00936167"/>
  </w:style>
  <w:style w:type="paragraph" w:styleId="T4">
    <w:name w:val="toc 4"/>
    <w:basedOn w:val="Normal"/>
    <w:next w:val="Normal"/>
    <w:autoRedefine/>
    <w:uiPriority w:val="39"/>
    <w:unhideWhenUsed/>
    <w:rsid w:val="00936167"/>
    <w:pPr>
      <w:spacing w:after="100"/>
      <w:ind w:left="660"/>
    </w:pPr>
  </w:style>
  <w:style w:type="paragraph" w:styleId="T5">
    <w:name w:val="toc 5"/>
    <w:basedOn w:val="Normal"/>
    <w:next w:val="Normal"/>
    <w:autoRedefine/>
    <w:uiPriority w:val="39"/>
    <w:unhideWhenUsed/>
    <w:rsid w:val="00936167"/>
    <w:pPr>
      <w:spacing w:after="100"/>
      <w:ind w:left="880"/>
    </w:pPr>
  </w:style>
  <w:style w:type="paragraph" w:styleId="T6">
    <w:name w:val="toc 6"/>
    <w:basedOn w:val="Normal"/>
    <w:next w:val="Normal"/>
    <w:autoRedefine/>
    <w:uiPriority w:val="39"/>
    <w:unhideWhenUsed/>
    <w:rsid w:val="00936167"/>
    <w:pPr>
      <w:spacing w:after="100"/>
      <w:ind w:left="1100"/>
    </w:pPr>
  </w:style>
  <w:style w:type="paragraph" w:styleId="T7">
    <w:name w:val="toc 7"/>
    <w:basedOn w:val="Normal"/>
    <w:next w:val="Normal"/>
    <w:autoRedefine/>
    <w:uiPriority w:val="39"/>
    <w:unhideWhenUsed/>
    <w:rsid w:val="00936167"/>
    <w:pPr>
      <w:spacing w:after="100"/>
      <w:ind w:left="1320"/>
    </w:pPr>
  </w:style>
  <w:style w:type="paragraph" w:styleId="T8">
    <w:name w:val="toc 8"/>
    <w:basedOn w:val="Normal"/>
    <w:next w:val="Normal"/>
    <w:autoRedefine/>
    <w:uiPriority w:val="39"/>
    <w:unhideWhenUsed/>
    <w:rsid w:val="00936167"/>
    <w:pPr>
      <w:spacing w:after="100"/>
      <w:ind w:left="1540"/>
    </w:pPr>
  </w:style>
  <w:style w:type="paragraph" w:styleId="T9">
    <w:name w:val="toc 9"/>
    <w:basedOn w:val="Normal"/>
    <w:next w:val="Normal"/>
    <w:autoRedefine/>
    <w:uiPriority w:val="39"/>
    <w:unhideWhenUsed/>
    <w:rsid w:val="00936167"/>
    <w:pPr>
      <w:spacing w:after="100"/>
      <w:ind w:left="1760"/>
    </w:pPr>
  </w:style>
  <w:style w:type="paragraph" w:customStyle="1" w:styleId="ListeParagraf2">
    <w:name w:val="Liste Paragraf2"/>
    <w:basedOn w:val="Normal"/>
    <w:rsid w:val="00936167"/>
    <w:pPr>
      <w:spacing w:after="120"/>
      <w:ind w:left="720" w:firstLine="709"/>
      <w:jc w:val="both"/>
    </w:pPr>
    <w:rPr>
      <w:rFonts w:ascii="Cambria" w:eastAsia="Times New Roman" w:hAnsi="Cambria" w:cs="Times New Roman"/>
      <w:sz w:val="24"/>
      <w:szCs w:val="24"/>
      <w:lang w:eastAsia="en-US"/>
    </w:rPr>
  </w:style>
  <w:style w:type="paragraph" w:styleId="BelgeBalantlar">
    <w:name w:val="Document Map"/>
    <w:basedOn w:val="Normal"/>
    <w:link w:val="BelgeBalantlarChar"/>
    <w:uiPriority w:val="99"/>
    <w:semiHidden/>
    <w:unhideWhenUsed/>
    <w:rsid w:val="00936167"/>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936167"/>
    <w:rPr>
      <w:rFonts w:ascii="Tahoma" w:eastAsiaTheme="minorEastAsia" w:hAnsi="Tahoma" w:cs="Tahoma"/>
      <w:kern w:val="0"/>
      <w:sz w:val="16"/>
      <w:szCs w:val="16"/>
      <w:lang w:eastAsia="tr-TR"/>
      <w14:ligatures w14:val="none"/>
    </w:rPr>
  </w:style>
  <w:style w:type="character" w:styleId="zmlenmeyenBahsetme">
    <w:name w:val="Unresolved Mention"/>
    <w:basedOn w:val="VarsaylanParagrafYazTipi"/>
    <w:uiPriority w:val="99"/>
    <w:semiHidden/>
    <w:unhideWhenUsed/>
    <w:rsid w:val="00936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rriyet.com.tr/haberleri/fe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rriyet.com.tr/haberleri/savc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milliyet.com.tr/hsyk-acikladi-2-bin-745-hakim-gundem-2278880/" TargetMode="External"/><Relationship Id="rId1" Type="http://schemas.openxmlformats.org/officeDocument/2006/relationships/hyperlink" Target="http://www.resmigazete.gov.tr/eskiler/2019/01/20190111-1.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3AAD8-951F-4577-9272-CA6229C43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54</Pages>
  <Words>22958</Words>
  <Characters>130862</Characters>
  <Application>Microsoft Office Word</Application>
  <DocSecurity>0</DocSecurity>
  <Lines>1090</Lines>
  <Paragraphs>307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 hh</dc:creator>
  <cp:keywords/>
  <dc:description/>
  <cp:lastModifiedBy>nn hh</cp:lastModifiedBy>
  <cp:revision>1</cp:revision>
  <dcterms:created xsi:type="dcterms:W3CDTF">2025-08-19T15:11:00Z</dcterms:created>
  <dcterms:modified xsi:type="dcterms:W3CDTF">2025-08-19T15:54:00Z</dcterms:modified>
</cp:coreProperties>
</file>